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sz w:val="44"/>
          <w:szCs w:val="44"/>
        </w:rPr>
      </w:pPr>
      <w:r>
        <w:rPr>
          <w:rFonts w:hint="eastAsia" w:ascii="方正小标宋简体" w:eastAsia="方正小标宋简体"/>
          <w:sz w:val="44"/>
          <w:szCs w:val="44"/>
        </w:rPr>
        <w:t>成都市郫都区市场监督管理局（区知识产权局）关于对《郫都区“十四五”知识产权保护和运用规划（修订征求意见稿）》公开征求意见的通知</w:t>
      </w:r>
    </w:p>
    <w:p>
      <w:pPr>
        <w:rPr>
          <w:rFonts w:ascii="仿宋_GB2312" w:eastAsia="仿宋_GB2312"/>
          <w:sz w:val="32"/>
          <w:szCs w:val="32"/>
        </w:rPr>
      </w:pPr>
    </w:p>
    <w:p>
      <w:pPr>
        <w:ind w:left="0" w:leftChars="0" w:firstLine="0" w:firstLineChars="0"/>
        <w:rPr>
          <w:rFonts w:ascii="仿宋_GB2312" w:eastAsia="仿宋_GB2312"/>
          <w:sz w:val="32"/>
          <w:szCs w:val="32"/>
        </w:rPr>
      </w:pPr>
      <w:r>
        <w:rPr>
          <w:rFonts w:hint="eastAsia" w:ascii="仿宋_GB2312" w:eastAsia="仿宋_GB2312"/>
          <w:sz w:val="32"/>
          <w:szCs w:val="32"/>
        </w:rPr>
        <w:t>各有关单位及个人：</w:t>
      </w:r>
    </w:p>
    <w:p>
      <w:pPr>
        <w:ind w:firstLine="640" w:firstLineChars="200"/>
        <w:rPr>
          <w:rFonts w:ascii="仿宋_GB2312" w:eastAsia="仿宋_GB2312"/>
          <w:sz w:val="32"/>
          <w:szCs w:val="32"/>
        </w:rPr>
      </w:pPr>
      <w:r>
        <w:rPr>
          <w:rFonts w:hint="eastAsia" w:ascii="方正仿宋" w:hAnsi="方正仿宋" w:eastAsia="方正仿宋" w:cs="方正仿宋"/>
          <w:kern w:val="0"/>
          <w:sz w:val="32"/>
          <w:szCs w:val="32"/>
          <w:lang w:val="en-US" w:eastAsia="zh-CN" w:bidi="ar-SA"/>
        </w:rPr>
        <w:t>为全面推进“十四五”时期郫都区全面强化知识产权保护工作建设，按照《知识产权强国建设纲要（2021-2035）》《“十四五”国家知识产权保护和运用规划》文件精神，成都市郫都区市场监督管理局</w:t>
      </w:r>
      <w:r>
        <w:rPr>
          <w:rFonts w:hint="eastAsia" w:ascii="仿宋_GB2312" w:eastAsia="仿宋_GB2312"/>
          <w:sz w:val="32"/>
          <w:szCs w:val="32"/>
        </w:rPr>
        <w:t>针对郫都区知识产权工作的特点和需求，结合</w:t>
      </w:r>
      <w:r>
        <w:rPr>
          <w:rFonts w:hint="eastAsia" w:ascii="仿宋_GB2312" w:eastAsia="仿宋_GB2312"/>
          <w:sz w:val="32"/>
          <w:szCs w:val="32"/>
          <w:lang w:eastAsia="zh-CN"/>
        </w:rPr>
        <w:t>成都市</w:t>
      </w:r>
      <w:r>
        <w:rPr>
          <w:rFonts w:hint="eastAsia" w:ascii="仿宋_GB2312" w:eastAsia="仿宋_GB2312"/>
          <w:sz w:val="32"/>
          <w:szCs w:val="32"/>
        </w:rPr>
        <w:t>郫都区经济发展的方向</w:t>
      </w:r>
      <w:r>
        <w:rPr>
          <w:rFonts w:hint="eastAsia" w:ascii="仿宋_GB2312" w:eastAsia="仿宋_GB2312"/>
          <w:sz w:val="32"/>
          <w:szCs w:val="32"/>
          <w:lang w:eastAsia="zh-CN"/>
        </w:rPr>
        <w:t>、</w:t>
      </w:r>
      <w:r>
        <w:rPr>
          <w:rFonts w:hint="eastAsia" w:ascii="仿宋_GB2312" w:eastAsia="仿宋_GB2312"/>
          <w:sz w:val="32"/>
          <w:szCs w:val="32"/>
        </w:rPr>
        <w:t>特点和</w:t>
      </w:r>
      <w:r>
        <w:rPr>
          <w:rFonts w:hint="eastAsia" w:ascii="仿宋_GB2312" w:eastAsia="仿宋_GB2312"/>
          <w:sz w:val="32"/>
          <w:szCs w:val="32"/>
          <w:lang w:eastAsia="zh-CN"/>
        </w:rPr>
        <w:t>知识产权</w:t>
      </w:r>
      <w:r>
        <w:rPr>
          <w:rFonts w:hint="eastAsia" w:ascii="仿宋_GB2312" w:eastAsia="仿宋_GB2312"/>
          <w:sz w:val="32"/>
          <w:szCs w:val="32"/>
        </w:rPr>
        <w:t>保护与运用的工作中亟待解决的问题，依据国家、省、市“十四五”知识产权工作规划，起草了</w:t>
      </w:r>
      <w:r>
        <w:rPr>
          <w:rFonts w:hint="eastAsia" w:ascii="仿宋_GB2312" w:eastAsia="仿宋_GB2312"/>
          <w:sz w:val="32"/>
          <w:szCs w:val="32"/>
          <w:lang w:eastAsia="zh-CN"/>
        </w:rPr>
        <w:t>成都市</w:t>
      </w:r>
      <w:r>
        <w:rPr>
          <w:rFonts w:hint="eastAsia" w:ascii="仿宋_GB2312" w:eastAsia="仿宋_GB2312"/>
          <w:sz w:val="32"/>
          <w:szCs w:val="32"/>
        </w:rPr>
        <w:t>郫都区“十四五”知识产权保护和运用规划</w:t>
      </w:r>
      <w:r>
        <w:rPr>
          <w:rFonts w:hint="eastAsia" w:ascii="方正仿宋" w:hAnsi="方正仿宋" w:eastAsia="方正仿宋" w:cs="方正仿宋"/>
          <w:kern w:val="0"/>
          <w:sz w:val="32"/>
          <w:szCs w:val="32"/>
          <w:lang w:val="en-US" w:eastAsia="zh-CN" w:bidi="ar-SA"/>
        </w:rPr>
        <w:t>（</w:t>
      </w:r>
      <w:r>
        <w:rPr>
          <w:rFonts w:hint="eastAsia" w:ascii="仿宋_GB2312" w:eastAsia="仿宋_GB2312"/>
          <w:sz w:val="32"/>
          <w:szCs w:val="32"/>
        </w:rPr>
        <w:t>修订</w:t>
      </w:r>
      <w:r>
        <w:rPr>
          <w:rFonts w:hint="eastAsia" w:ascii="方正仿宋" w:hAnsi="方正仿宋" w:eastAsia="方正仿宋" w:cs="方正仿宋"/>
          <w:kern w:val="0"/>
          <w:sz w:val="32"/>
          <w:szCs w:val="32"/>
          <w:lang w:val="en-US" w:eastAsia="zh-CN" w:bidi="ar-SA"/>
        </w:rPr>
        <w:t>征求意见稿）</w:t>
      </w:r>
      <w:r>
        <w:rPr>
          <w:rFonts w:hint="eastAsia" w:ascii="仿宋_GB2312" w:eastAsia="仿宋_GB2312"/>
          <w:sz w:val="32"/>
          <w:szCs w:val="32"/>
        </w:rPr>
        <w:t>。（附件1），</w:t>
      </w:r>
      <w:r>
        <w:rPr>
          <w:rFonts w:hint="eastAsia" w:ascii="方正仿宋" w:hAnsi="方正仿宋" w:eastAsia="方正仿宋" w:cs="方正仿宋"/>
          <w:kern w:val="0"/>
          <w:sz w:val="32"/>
          <w:szCs w:val="32"/>
        </w:rPr>
        <w:t>现社会公开征求意见。在2023年2月</w:t>
      </w:r>
      <w:r>
        <w:rPr>
          <w:rFonts w:hint="eastAsia" w:ascii="方正仿宋" w:hAnsi="方正仿宋" w:eastAsia="方正仿宋" w:cs="方正仿宋"/>
          <w:kern w:val="0"/>
          <w:sz w:val="32"/>
          <w:szCs w:val="32"/>
          <w:lang w:val="en-US" w:eastAsia="zh-CN"/>
        </w:rPr>
        <w:t>8</w:t>
      </w:r>
      <w:r>
        <w:rPr>
          <w:rFonts w:hint="eastAsia" w:ascii="方正仿宋" w:hAnsi="方正仿宋" w:eastAsia="方正仿宋" w:cs="方正仿宋"/>
          <w:kern w:val="0"/>
          <w:sz w:val="32"/>
          <w:szCs w:val="32"/>
        </w:rPr>
        <w:t>日前，公众</w:t>
      </w:r>
      <w:r>
        <w:rPr>
          <w:rFonts w:hint="eastAsia" w:ascii="仿宋_GB2312" w:eastAsia="仿宋_GB2312"/>
          <w:sz w:val="32"/>
          <w:szCs w:val="32"/>
        </w:rPr>
        <w:t>可以发送意见到电子邮件（</w:t>
      </w:r>
      <w:r>
        <w:rPr>
          <w:rFonts w:ascii="仿宋_GB2312" w:eastAsia="仿宋_GB2312"/>
          <w:sz w:val="32"/>
          <w:szCs w:val="32"/>
        </w:rPr>
        <w:t>412615677</w:t>
      </w:r>
      <w:r>
        <w:rPr>
          <w:rFonts w:hint="eastAsia" w:ascii="仿宋_GB2312" w:eastAsia="仿宋_GB2312"/>
          <w:sz w:val="32"/>
          <w:szCs w:val="32"/>
        </w:rPr>
        <w:t>@qq.com）提出意见和建议。</w:t>
      </w:r>
    </w:p>
    <w:p>
      <w:pPr>
        <w:rPr>
          <w:rFonts w:ascii="仿宋_GB2312" w:eastAsia="仿宋_GB2312"/>
          <w:sz w:val="32"/>
          <w:szCs w:val="32"/>
        </w:rPr>
      </w:pPr>
    </w:p>
    <w:p>
      <w:pPr>
        <w:rPr>
          <w:rFonts w:ascii="仿宋_GB2312" w:eastAsia="仿宋_GB2312"/>
          <w:sz w:val="32"/>
          <w:szCs w:val="32"/>
        </w:rPr>
      </w:pPr>
    </w:p>
    <w:p>
      <w:pPr>
        <w:rPr>
          <w:rFonts w:hint="eastAsia" w:ascii="仿宋_GB2312"/>
          <w:sz w:val="32"/>
          <w:szCs w:val="32"/>
          <w:lang w:val="en-US" w:eastAsia="zh-CN"/>
        </w:rPr>
      </w:pPr>
      <w:r>
        <w:rPr>
          <w:rFonts w:hint="eastAsia" w:ascii="仿宋_GB2312"/>
          <w:sz w:val="32"/>
          <w:szCs w:val="32"/>
          <w:lang w:val="en-US" w:eastAsia="zh-CN"/>
        </w:rPr>
        <w:t xml:space="preserve">                成都市郫都区市场监督管理局</w:t>
      </w:r>
    </w:p>
    <w:p>
      <w:pPr>
        <w:pStyle w:val="2"/>
        <w:rPr>
          <w:rFonts w:hint="eastAsia"/>
          <w:lang w:val="en-US" w:eastAsia="zh-CN"/>
        </w:rPr>
      </w:pPr>
      <w:r>
        <w:rPr>
          <w:rFonts w:hint="eastAsia" w:ascii="仿宋_GB2312"/>
          <w:sz w:val="32"/>
          <w:szCs w:val="32"/>
          <w:lang w:val="en-US" w:eastAsia="zh-CN"/>
        </w:rPr>
        <w:t xml:space="preserve">     （区知识产权局）</w:t>
      </w:r>
    </w:p>
    <w:p>
      <w:pPr>
        <w:ind w:firstLine="4160" w:firstLineChars="1300"/>
        <w:rPr>
          <w:rFonts w:hint="eastAsia" w:ascii="仿宋_GB2312"/>
          <w:sz w:val="32"/>
          <w:szCs w:val="32"/>
          <w:lang w:val="en-US" w:eastAsia="zh-CN"/>
        </w:rPr>
      </w:pPr>
      <w:r>
        <w:rPr>
          <w:rFonts w:hint="eastAsia" w:ascii="仿宋_GB2312"/>
          <w:sz w:val="32"/>
          <w:szCs w:val="32"/>
          <w:lang w:val="en-US" w:eastAsia="zh-CN"/>
        </w:rPr>
        <w:t>2023年1月9日</w:t>
      </w:r>
    </w:p>
    <w:p>
      <w:pPr>
        <w:rPr>
          <w:rFonts w:hint="eastAsia" w:ascii="仿宋_GB2312"/>
          <w:sz w:val="32"/>
          <w:szCs w:val="32"/>
          <w:lang w:val="en-US" w:eastAsia="zh-CN"/>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spacing w:before="156"/>
        <w:ind w:firstLine="0" w:firstLineChars="0"/>
        <w:jc w:val="center"/>
        <w:rPr>
          <w:rFonts w:ascii="方正小标宋简体" w:eastAsia="方正小标宋简体"/>
          <w:sz w:val="44"/>
          <w:szCs w:val="44"/>
        </w:rPr>
      </w:pPr>
      <w:r>
        <w:rPr>
          <w:rFonts w:hint="eastAsia" w:ascii="方正小标宋简体" w:eastAsia="方正小标宋简体"/>
          <w:sz w:val="44"/>
          <w:szCs w:val="44"/>
        </w:rPr>
        <w:t>目录</w:t>
      </w:r>
    </w:p>
    <w:sdt>
      <w:sdtPr>
        <w:rPr>
          <w:lang w:val="zh-CN"/>
        </w:rPr>
        <w:id w:val="-852408285"/>
        <w:docPartObj>
          <w:docPartGallery w:val="Table of Contents"/>
          <w:docPartUnique/>
        </w:docPartObj>
      </w:sdtPr>
      <w:sdtEndPr>
        <w:rPr>
          <w:rFonts w:hint="eastAsia" w:ascii="仿宋_GB2312"/>
          <w:b/>
          <w:bCs/>
          <w:lang w:val="zh-CN"/>
        </w:rPr>
      </w:sdtEndPr>
      <w:sdtContent>
        <w:p>
          <w:pPr>
            <w:pStyle w:val="9"/>
            <w:tabs>
              <w:tab w:val="left" w:pos="1680"/>
              <w:tab w:val="right" w:pos="8296"/>
            </w:tabs>
            <w:spacing w:before="156"/>
            <w:ind w:firstLine="640"/>
            <w:rPr>
              <w:rFonts w:eastAsiaTheme="minorEastAsia"/>
              <w:sz w:val="21"/>
            </w:rPr>
          </w:pPr>
          <w:r>
            <w:rPr>
              <w:rFonts w:hint="eastAsia" w:ascii="仿宋_GB2312" w:hAnsiTheme="majorHAnsi" w:cstheme="majorBidi"/>
              <w:kern w:val="0"/>
              <w:szCs w:val="32"/>
            </w:rPr>
            <w:fldChar w:fldCharType="begin"/>
          </w:r>
          <w:r>
            <w:rPr>
              <w:rFonts w:hint="eastAsia" w:ascii="仿宋_GB2312"/>
            </w:rPr>
            <w:instrText xml:space="preserve"> TOC \o "1-3" \h \z \u </w:instrText>
          </w:r>
          <w:r>
            <w:rPr>
              <w:rFonts w:hint="eastAsia" w:ascii="仿宋_GB2312" w:hAnsiTheme="majorHAnsi" w:cstheme="majorBidi"/>
              <w:kern w:val="0"/>
              <w:szCs w:val="32"/>
            </w:rPr>
            <w:fldChar w:fldCharType="separate"/>
          </w:r>
          <w:r>
            <w:fldChar w:fldCharType="begin"/>
          </w:r>
          <w:r>
            <w:instrText xml:space="preserve"> HYPERLINK \l "_Toc91253720" </w:instrText>
          </w:r>
          <w:r>
            <w:fldChar w:fldCharType="separate"/>
          </w:r>
          <w:r>
            <w:rPr>
              <w:rStyle w:val="12"/>
              <w:rFonts w:eastAsia="黑体"/>
              <w:bCs/>
              <w:kern w:val="44"/>
            </w:rPr>
            <w:t>一、</w:t>
          </w:r>
          <w:r>
            <w:rPr>
              <w:rFonts w:eastAsiaTheme="minorEastAsia"/>
              <w:sz w:val="21"/>
            </w:rPr>
            <w:tab/>
          </w:r>
          <w:r>
            <w:rPr>
              <w:rStyle w:val="12"/>
              <w:rFonts w:eastAsia="黑体"/>
              <w:bCs/>
              <w:kern w:val="44"/>
            </w:rPr>
            <w:t>“十三五”发展回顾</w:t>
          </w:r>
          <w:r>
            <w:tab/>
          </w:r>
          <w:r>
            <w:fldChar w:fldCharType="begin"/>
          </w:r>
          <w:r>
            <w:instrText xml:space="preserve"> PAGEREF _Toc91253720 \h </w:instrText>
          </w:r>
          <w:r>
            <w:fldChar w:fldCharType="separate"/>
          </w:r>
          <w:r>
            <w:t>1</w:t>
          </w:r>
          <w:r>
            <w:fldChar w:fldCharType="end"/>
          </w:r>
          <w:r>
            <w:fldChar w:fldCharType="end"/>
          </w:r>
        </w:p>
        <w:p>
          <w:pPr>
            <w:pStyle w:val="10"/>
            <w:rPr>
              <w:rFonts w:eastAsiaTheme="minorEastAsia"/>
              <w:sz w:val="21"/>
            </w:rPr>
          </w:pPr>
          <w:r>
            <w:fldChar w:fldCharType="begin"/>
          </w:r>
          <w:r>
            <w:instrText xml:space="preserve"> HYPERLINK \l "_Toc91253721" </w:instrText>
          </w:r>
          <w:r>
            <w:fldChar w:fldCharType="separate"/>
          </w:r>
          <w:r>
            <w:rPr>
              <w:rStyle w:val="12"/>
              <w:rFonts w:ascii="楷体" w:hAnsi="楷体" w:eastAsia="楷体" w:cs="Times New Roman"/>
            </w:rPr>
            <w:t>（一）知识产权创造量质齐升。</w:t>
          </w:r>
          <w:r>
            <w:tab/>
          </w:r>
          <w:r>
            <w:fldChar w:fldCharType="begin"/>
          </w:r>
          <w:r>
            <w:instrText xml:space="preserve"> PAGEREF _Toc91253721 \h </w:instrText>
          </w:r>
          <w:r>
            <w:fldChar w:fldCharType="separate"/>
          </w:r>
          <w:r>
            <w:t>1</w:t>
          </w:r>
          <w:r>
            <w:fldChar w:fldCharType="end"/>
          </w:r>
          <w:r>
            <w:fldChar w:fldCharType="end"/>
          </w:r>
        </w:p>
        <w:p>
          <w:pPr>
            <w:pStyle w:val="10"/>
            <w:rPr>
              <w:rFonts w:eastAsiaTheme="minorEastAsia"/>
              <w:sz w:val="21"/>
            </w:rPr>
          </w:pPr>
          <w:r>
            <w:fldChar w:fldCharType="begin"/>
          </w:r>
          <w:r>
            <w:instrText xml:space="preserve"> HYPERLINK \l "_Toc91253722" </w:instrText>
          </w:r>
          <w:r>
            <w:fldChar w:fldCharType="separate"/>
          </w:r>
          <w:r>
            <w:rPr>
              <w:rStyle w:val="12"/>
              <w:rFonts w:ascii="楷体" w:hAnsi="楷体" w:eastAsia="楷体" w:cs="Times New Roman"/>
            </w:rPr>
            <w:t>（二）知识产权运用成效突出。</w:t>
          </w:r>
          <w:r>
            <w:tab/>
          </w:r>
          <w:r>
            <w:fldChar w:fldCharType="begin"/>
          </w:r>
          <w:r>
            <w:instrText xml:space="preserve"> PAGEREF _Toc91253722 \h </w:instrText>
          </w:r>
          <w:r>
            <w:fldChar w:fldCharType="separate"/>
          </w:r>
          <w:r>
            <w:t>1</w:t>
          </w:r>
          <w:r>
            <w:fldChar w:fldCharType="end"/>
          </w:r>
          <w:r>
            <w:fldChar w:fldCharType="end"/>
          </w:r>
        </w:p>
        <w:p>
          <w:pPr>
            <w:pStyle w:val="10"/>
            <w:rPr>
              <w:rFonts w:eastAsiaTheme="minorEastAsia"/>
              <w:sz w:val="21"/>
            </w:rPr>
          </w:pPr>
          <w:r>
            <w:fldChar w:fldCharType="begin"/>
          </w:r>
          <w:r>
            <w:instrText xml:space="preserve"> HYPERLINK \l "_Toc91253723" </w:instrText>
          </w:r>
          <w:r>
            <w:fldChar w:fldCharType="separate"/>
          </w:r>
          <w:r>
            <w:rPr>
              <w:rStyle w:val="12"/>
              <w:rFonts w:ascii="楷体" w:hAnsi="楷体" w:eastAsia="楷体" w:cs="Times New Roman"/>
            </w:rPr>
            <w:t>（四）</w:t>
          </w:r>
          <w:r>
            <w:rPr>
              <w:rStyle w:val="12"/>
              <w:rFonts w:ascii="Times New Roman" w:hAnsi="Times New Roman" w:eastAsia="楷体" w:cs="Times New Roman"/>
            </w:rPr>
            <w:t>知识产权管理推陈出新</w:t>
          </w:r>
          <w:r>
            <w:rPr>
              <w:rStyle w:val="12"/>
              <w:rFonts w:ascii="楷体" w:hAnsi="楷体" w:eastAsia="楷体" w:cs="Times New Roman"/>
            </w:rPr>
            <w:t>。</w:t>
          </w:r>
          <w:r>
            <w:tab/>
          </w:r>
          <w:r>
            <w:fldChar w:fldCharType="begin"/>
          </w:r>
          <w:r>
            <w:instrText xml:space="preserve"> PAGEREF _Toc91253723 \h </w:instrText>
          </w:r>
          <w:r>
            <w:fldChar w:fldCharType="separate"/>
          </w:r>
          <w:r>
            <w:t>2</w:t>
          </w:r>
          <w:r>
            <w:fldChar w:fldCharType="end"/>
          </w:r>
          <w:r>
            <w:fldChar w:fldCharType="end"/>
          </w:r>
        </w:p>
        <w:p>
          <w:pPr>
            <w:pStyle w:val="10"/>
            <w:rPr>
              <w:rFonts w:eastAsiaTheme="minorEastAsia"/>
              <w:sz w:val="21"/>
            </w:rPr>
          </w:pPr>
          <w:r>
            <w:fldChar w:fldCharType="begin"/>
          </w:r>
          <w:r>
            <w:instrText xml:space="preserve"> HYPERLINK \l "_Toc91253724" </w:instrText>
          </w:r>
          <w:r>
            <w:fldChar w:fldCharType="separate"/>
          </w:r>
          <w:r>
            <w:rPr>
              <w:rStyle w:val="12"/>
              <w:rFonts w:ascii="楷体" w:hAnsi="楷体" w:eastAsia="楷体" w:cs="Times New Roman"/>
            </w:rPr>
            <w:t>（五）知识产权服务多措并举。</w:t>
          </w:r>
          <w:r>
            <w:tab/>
          </w:r>
          <w:r>
            <w:fldChar w:fldCharType="begin"/>
          </w:r>
          <w:r>
            <w:instrText xml:space="preserve"> PAGEREF _Toc91253724 \h </w:instrText>
          </w:r>
          <w:r>
            <w:fldChar w:fldCharType="separate"/>
          </w:r>
          <w:r>
            <w:t>2</w:t>
          </w:r>
          <w:r>
            <w:fldChar w:fldCharType="end"/>
          </w:r>
          <w:r>
            <w:fldChar w:fldCharType="end"/>
          </w:r>
        </w:p>
        <w:p>
          <w:pPr>
            <w:pStyle w:val="10"/>
            <w:rPr>
              <w:rFonts w:eastAsiaTheme="minorEastAsia"/>
              <w:sz w:val="21"/>
            </w:rPr>
          </w:pPr>
          <w:r>
            <w:fldChar w:fldCharType="begin"/>
          </w:r>
          <w:r>
            <w:instrText xml:space="preserve"> HYPERLINK \l "_Toc91253725" </w:instrText>
          </w:r>
          <w:r>
            <w:fldChar w:fldCharType="separate"/>
          </w:r>
          <w:r>
            <w:rPr>
              <w:rStyle w:val="12"/>
              <w:rFonts w:ascii="楷体" w:hAnsi="楷体" w:eastAsia="楷体" w:cs="Times New Roman"/>
            </w:rPr>
            <w:t>（六）知识产权宣教不断强化。</w:t>
          </w:r>
          <w:r>
            <w:tab/>
          </w:r>
          <w:r>
            <w:fldChar w:fldCharType="begin"/>
          </w:r>
          <w:r>
            <w:instrText xml:space="preserve"> PAGEREF _Toc91253725 \h </w:instrText>
          </w:r>
          <w:r>
            <w:fldChar w:fldCharType="separate"/>
          </w:r>
          <w:r>
            <w:t>3</w:t>
          </w:r>
          <w:r>
            <w:fldChar w:fldCharType="end"/>
          </w:r>
          <w:r>
            <w:fldChar w:fldCharType="end"/>
          </w:r>
        </w:p>
        <w:p>
          <w:pPr>
            <w:pStyle w:val="10"/>
            <w:rPr>
              <w:rFonts w:eastAsiaTheme="minorEastAsia"/>
              <w:sz w:val="21"/>
            </w:rPr>
          </w:pPr>
          <w:r>
            <w:fldChar w:fldCharType="begin"/>
          </w:r>
          <w:r>
            <w:instrText xml:space="preserve"> HYPERLINK \l "_Toc91253726" </w:instrText>
          </w:r>
          <w:r>
            <w:fldChar w:fldCharType="separate"/>
          </w:r>
          <w:r>
            <w:rPr>
              <w:rStyle w:val="12"/>
              <w:rFonts w:ascii="楷体" w:hAnsi="楷体" w:eastAsia="楷体" w:cs="Times New Roman"/>
            </w:rPr>
            <w:t>（七）深度融入区域经济发展。</w:t>
          </w:r>
          <w:r>
            <w:tab/>
          </w:r>
          <w:r>
            <w:fldChar w:fldCharType="begin"/>
          </w:r>
          <w:r>
            <w:instrText xml:space="preserve"> PAGEREF _Toc91253726 \h </w:instrText>
          </w:r>
          <w:r>
            <w:fldChar w:fldCharType="separate"/>
          </w:r>
          <w:r>
            <w:t>3</w:t>
          </w:r>
          <w:r>
            <w:fldChar w:fldCharType="end"/>
          </w:r>
          <w:r>
            <w:fldChar w:fldCharType="end"/>
          </w:r>
        </w:p>
        <w:p>
          <w:pPr>
            <w:pStyle w:val="9"/>
            <w:tabs>
              <w:tab w:val="left" w:pos="1680"/>
              <w:tab w:val="right" w:pos="8296"/>
            </w:tabs>
            <w:spacing w:before="156"/>
            <w:ind w:firstLine="640"/>
            <w:rPr>
              <w:rFonts w:eastAsiaTheme="minorEastAsia"/>
              <w:sz w:val="21"/>
            </w:rPr>
          </w:pPr>
          <w:r>
            <w:fldChar w:fldCharType="begin"/>
          </w:r>
          <w:r>
            <w:instrText xml:space="preserve"> HYPERLINK \l "_Toc91253727" </w:instrText>
          </w:r>
          <w:r>
            <w:fldChar w:fldCharType="separate"/>
          </w:r>
          <w:r>
            <w:rPr>
              <w:rStyle w:val="12"/>
              <w:rFonts w:ascii="Calibri" w:hAnsi="Calibri" w:eastAsia="黑体" w:cs="Times New Roman"/>
              <w:bCs/>
              <w:kern w:val="44"/>
            </w:rPr>
            <w:t>二、</w:t>
          </w:r>
          <w:r>
            <w:rPr>
              <w:rFonts w:eastAsiaTheme="minorEastAsia"/>
              <w:sz w:val="21"/>
            </w:rPr>
            <w:tab/>
          </w:r>
          <w:r>
            <w:rPr>
              <w:rStyle w:val="12"/>
              <w:rFonts w:ascii="Calibri" w:hAnsi="Calibri" w:eastAsia="黑体" w:cs="Times New Roman"/>
              <w:bCs/>
              <w:kern w:val="44"/>
            </w:rPr>
            <w:t>指导思想</w:t>
          </w:r>
          <w:r>
            <w:tab/>
          </w:r>
          <w:r>
            <w:fldChar w:fldCharType="begin"/>
          </w:r>
          <w:r>
            <w:instrText xml:space="preserve"> PAGEREF _Toc91253727 \h </w:instrText>
          </w:r>
          <w:r>
            <w:fldChar w:fldCharType="separate"/>
          </w:r>
          <w:r>
            <w:t>4</w:t>
          </w:r>
          <w:r>
            <w:fldChar w:fldCharType="end"/>
          </w:r>
          <w:r>
            <w:fldChar w:fldCharType="end"/>
          </w:r>
        </w:p>
        <w:p>
          <w:pPr>
            <w:pStyle w:val="9"/>
            <w:tabs>
              <w:tab w:val="left" w:pos="1680"/>
              <w:tab w:val="right" w:pos="8296"/>
            </w:tabs>
            <w:spacing w:before="156"/>
            <w:ind w:firstLine="640"/>
            <w:rPr>
              <w:rFonts w:eastAsiaTheme="minorEastAsia"/>
              <w:sz w:val="21"/>
            </w:rPr>
          </w:pPr>
          <w:r>
            <w:fldChar w:fldCharType="begin"/>
          </w:r>
          <w:r>
            <w:instrText xml:space="preserve"> HYPERLINK \l "_Toc91253728" </w:instrText>
          </w:r>
          <w:r>
            <w:fldChar w:fldCharType="separate"/>
          </w:r>
          <w:r>
            <w:rPr>
              <w:rStyle w:val="12"/>
              <w:rFonts w:ascii="Calibri" w:hAnsi="Calibri" w:eastAsia="黑体" w:cs="Times New Roman"/>
              <w:bCs/>
              <w:kern w:val="44"/>
            </w:rPr>
            <w:t>三、</w:t>
          </w:r>
          <w:r>
            <w:rPr>
              <w:rFonts w:eastAsiaTheme="minorEastAsia"/>
              <w:sz w:val="21"/>
            </w:rPr>
            <w:tab/>
          </w:r>
          <w:r>
            <w:rPr>
              <w:rStyle w:val="12"/>
              <w:rFonts w:ascii="Calibri" w:hAnsi="Calibri" w:eastAsia="黑体" w:cs="Times New Roman"/>
              <w:bCs/>
              <w:kern w:val="44"/>
            </w:rPr>
            <w:t>发展目标</w:t>
          </w:r>
          <w:r>
            <w:tab/>
          </w:r>
          <w:r>
            <w:fldChar w:fldCharType="begin"/>
          </w:r>
          <w:r>
            <w:instrText xml:space="preserve"> PAGEREF _Toc91253728 \h </w:instrText>
          </w:r>
          <w:r>
            <w:fldChar w:fldCharType="separate"/>
          </w:r>
          <w:r>
            <w:t>4</w:t>
          </w:r>
          <w:r>
            <w:fldChar w:fldCharType="end"/>
          </w:r>
          <w:r>
            <w:fldChar w:fldCharType="end"/>
          </w:r>
        </w:p>
        <w:p>
          <w:pPr>
            <w:pStyle w:val="10"/>
            <w:rPr>
              <w:rFonts w:eastAsiaTheme="minorEastAsia"/>
              <w:sz w:val="21"/>
            </w:rPr>
          </w:pPr>
          <w:r>
            <w:fldChar w:fldCharType="begin"/>
          </w:r>
          <w:r>
            <w:instrText xml:space="preserve"> HYPERLINK \l "_Toc91253729" </w:instrText>
          </w:r>
          <w:r>
            <w:fldChar w:fldCharType="separate"/>
          </w:r>
          <w:r>
            <w:rPr>
              <w:rStyle w:val="12"/>
              <w:rFonts w:ascii="楷体" w:hAnsi="楷体" w:eastAsia="楷体" w:cs="Times New Roman"/>
            </w:rPr>
            <w:t>（一）总体目标</w:t>
          </w:r>
          <w:r>
            <w:tab/>
          </w:r>
          <w:r>
            <w:fldChar w:fldCharType="begin"/>
          </w:r>
          <w:r>
            <w:instrText xml:space="preserve"> PAGEREF _Toc91253729 \h </w:instrText>
          </w:r>
          <w:r>
            <w:fldChar w:fldCharType="separate"/>
          </w:r>
          <w:r>
            <w:t>4</w:t>
          </w:r>
          <w:r>
            <w:fldChar w:fldCharType="end"/>
          </w:r>
          <w:r>
            <w:fldChar w:fldCharType="end"/>
          </w:r>
        </w:p>
        <w:p>
          <w:pPr>
            <w:pStyle w:val="10"/>
            <w:rPr>
              <w:rFonts w:eastAsiaTheme="minorEastAsia"/>
              <w:sz w:val="21"/>
            </w:rPr>
          </w:pPr>
          <w:r>
            <w:fldChar w:fldCharType="begin"/>
          </w:r>
          <w:r>
            <w:instrText xml:space="preserve"> HYPERLINK \l "_Toc91253730" </w:instrText>
          </w:r>
          <w:r>
            <w:fldChar w:fldCharType="separate"/>
          </w:r>
          <w:r>
            <w:rPr>
              <w:rStyle w:val="12"/>
              <w:rFonts w:ascii="楷体" w:hAnsi="楷体" w:eastAsia="楷体" w:cs="Times New Roman"/>
            </w:rPr>
            <w:t>（二）具体目标</w:t>
          </w:r>
          <w:r>
            <w:tab/>
          </w:r>
          <w:r>
            <w:fldChar w:fldCharType="begin"/>
          </w:r>
          <w:r>
            <w:instrText xml:space="preserve"> PAGEREF _Toc91253730 \h </w:instrText>
          </w:r>
          <w:r>
            <w:fldChar w:fldCharType="separate"/>
          </w:r>
          <w:r>
            <w:t>5</w:t>
          </w:r>
          <w:r>
            <w:fldChar w:fldCharType="end"/>
          </w:r>
          <w:r>
            <w:fldChar w:fldCharType="end"/>
          </w:r>
        </w:p>
        <w:p>
          <w:pPr>
            <w:pStyle w:val="10"/>
            <w:rPr>
              <w:rFonts w:eastAsiaTheme="minorEastAsia"/>
              <w:sz w:val="21"/>
            </w:rPr>
          </w:pPr>
          <w:r>
            <w:fldChar w:fldCharType="begin"/>
          </w:r>
          <w:r>
            <w:instrText xml:space="preserve"> HYPERLINK \l "_Toc91253731" </w:instrText>
          </w:r>
          <w:r>
            <w:fldChar w:fldCharType="separate"/>
          </w:r>
          <w:r>
            <w:rPr>
              <w:rStyle w:val="12"/>
              <w:rFonts w:ascii="楷体" w:hAnsi="楷体" w:eastAsia="楷体" w:cs="Times New Roman"/>
            </w:rPr>
            <w:t>（三）主要定量指标</w:t>
          </w:r>
          <w:r>
            <w:tab/>
          </w:r>
          <w:r>
            <w:fldChar w:fldCharType="begin"/>
          </w:r>
          <w:r>
            <w:instrText xml:space="preserve"> PAGEREF _Toc91253731 \h </w:instrText>
          </w:r>
          <w:r>
            <w:fldChar w:fldCharType="separate"/>
          </w:r>
          <w:r>
            <w:t>6</w:t>
          </w:r>
          <w:r>
            <w:fldChar w:fldCharType="end"/>
          </w:r>
          <w:r>
            <w:fldChar w:fldCharType="end"/>
          </w:r>
        </w:p>
        <w:p>
          <w:pPr>
            <w:pStyle w:val="9"/>
            <w:tabs>
              <w:tab w:val="left" w:pos="1680"/>
              <w:tab w:val="right" w:pos="8296"/>
            </w:tabs>
            <w:spacing w:before="156"/>
            <w:ind w:firstLine="640"/>
            <w:rPr>
              <w:rFonts w:eastAsiaTheme="minorEastAsia"/>
              <w:sz w:val="21"/>
            </w:rPr>
          </w:pPr>
          <w:r>
            <w:fldChar w:fldCharType="begin"/>
          </w:r>
          <w:r>
            <w:instrText xml:space="preserve"> HYPERLINK \l "_Toc91253732" </w:instrText>
          </w:r>
          <w:r>
            <w:fldChar w:fldCharType="separate"/>
          </w:r>
          <w:r>
            <w:rPr>
              <w:rStyle w:val="12"/>
              <w:rFonts w:ascii="Calibri" w:hAnsi="Calibri" w:eastAsia="黑体" w:cs="Times New Roman"/>
              <w:bCs/>
              <w:kern w:val="44"/>
            </w:rPr>
            <w:t>四、</w:t>
          </w:r>
          <w:r>
            <w:rPr>
              <w:rFonts w:eastAsiaTheme="minorEastAsia"/>
              <w:sz w:val="21"/>
            </w:rPr>
            <w:tab/>
          </w:r>
          <w:r>
            <w:rPr>
              <w:rStyle w:val="12"/>
              <w:rFonts w:ascii="Calibri" w:hAnsi="Calibri" w:eastAsia="黑体" w:cs="Times New Roman"/>
              <w:bCs/>
              <w:kern w:val="44"/>
            </w:rPr>
            <w:t>主要任务</w:t>
          </w:r>
          <w:r>
            <w:tab/>
          </w:r>
          <w:r>
            <w:fldChar w:fldCharType="begin"/>
          </w:r>
          <w:r>
            <w:instrText xml:space="preserve"> PAGEREF _Toc91253732 \h </w:instrText>
          </w:r>
          <w:r>
            <w:fldChar w:fldCharType="separate"/>
          </w:r>
          <w:r>
            <w:t>7</w:t>
          </w:r>
          <w:r>
            <w:fldChar w:fldCharType="end"/>
          </w:r>
          <w:r>
            <w:fldChar w:fldCharType="end"/>
          </w:r>
        </w:p>
        <w:p>
          <w:pPr>
            <w:pStyle w:val="10"/>
            <w:rPr>
              <w:rFonts w:eastAsiaTheme="minorEastAsia"/>
              <w:sz w:val="21"/>
            </w:rPr>
          </w:pPr>
          <w:r>
            <w:fldChar w:fldCharType="begin"/>
          </w:r>
          <w:r>
            <w:instrText xml:space="preserve"> HYPERLINK \l "_Toc91253733" </w:instrText>
          </w:r>
          <w:r>
            <w:fldChar w:fldCharType="separate"/>
          </w:r>
          <w:r>
            <w:rPr>
              <w:rStyle w:val="12"/>
              <w:rFonts w:ascii="楷体" w:hAnsi="楷体" w:eastAsia="楷体" w:cs="Times New Roman"/>
            </w:rPr>
            <w:t>（一）构建知识产权发展新格局</w:t>
          </w:r>
          <w:r>
            <w:tab/>
          </w:r>
          <w:r>
            <w:fldChar w:fldCharType="begin"/>
          </w:r>
          <w:r>
            <w:instrText xml:space="preserve"> PAGEREF _Toc91253733 \h </w:instrText>
          </w:r>
          <w:r>
            <w:fldChar w:fldCharType="separate"/>
          </w:r>
          <w:r>
            <w:t>7</w:t>
          </w:r>
          <w:r>
            <w:fldChar w:fldCharType="end"/>
          </w:r>
          <w:r>
            <w:fldChar w:fldCharType="end"/>
          </w:r>
        </w:p>
        <w:p>
          <w:pPr>
            <w:pStyle w:val="6"/>
            <w:rPr>
              <w:rFonts w:eastAsiaTheme="minorEastAsia"/>
              <w:sz w:val="21"/>
            </w:rPr>
          </w:pPr>
          <w:bookmarkStart w:id="0" w:name="_Hlk91253984"/>
          <w:r>
            <w:rPr>
              <w:rStyle w:val="12"/>
            </w:rPr>
            <w:fldChar w:fldCharType="begin"/>
          </w:r>
          <w:r>
            <w:rPr>
              <w:rStyle w:val="12"/>
            </w:rPr>
            <w:instrText xml:space="preserve"> </w:instrText>
          </w:r>
          <w:r>
            <w:instrText xml:space="preserve">HYPERLINK \l "_Toc91253734"</w:instrText>
          </w:r>
          <w:r>
            <w:rPr>
              <w:rStyle w:val="12"/>
            </w:rPr>
            <w:instrText xml:space="preserve"> </w:instrText>
          </w:r>
          <w:r>
            <w:rPr>
              <w:rStyle w:val="12"/>
            </w:rPr>
            <w:fldChar w:fldCharType="separate"/>
          </w:r>
          <w:r>
            <w:rPr>
              <w:rStyle w:val="12"/>
            </w:rPr>
            <w:t>1.高标准推进知识产权强区建设</w:t>
          </w:r>
          <w:r>
            <w:tab/>
          </w:r>
          <w:r>
            <w:fldChar w:fldCharType="begin"/>
          </w:r>
          <w:r>
            <w:instrText xml:space="preserve"> PAGEREF _Toc91253734 \h </w:instrText>
          </w:r>
          <w:r>
            <w:fldChar w:fldCharType="separate"/>
          </w:r>
          <w:r>
            <w:t>7</w:t>
          </w:r>
          <w:r>
            <w:fldChar w:fldCharType="end"/>
          </w:r>
          <w:r>
            <w:rPr>
              <w:rStyle w:val="12"/>
            </w:rPr>
            <w:fldChar w:fldCharType="end"/>
          </w:r>
        </w:p>
        <w:p>
          <w:pPr>
            <w:pStyle w:val="6"/>
            <w:rPr>
              <w:rFonts w:eastAsiaTheme="minorEastAsia"/>
              <w:sz w:val="21"/>
            </w:rPr>
          </w:pPr>
          <w:r>
            <w:fldChar w:fldCharType="begin"/>
          </w:r>
          <w:r>
            <w:instrText xml:space="preserve"> HYPERLINK \l "_Toc91253735" </w:instrText>
          </w:r>
          <w:r>
            <w:fldChar w:fldCharType="separate"/>
          </w:r>
          <w:r>
            <w:rPr>
              <w:rStyle w:val="12"/>
            </w:rPr>
            <w:t>2.赋能郫都区“科创高地”高质量建设</w:t>
          </w:r>
          <w:r>
            <w:tab/>
          </w:r>
          <w:r>
            <w:fldChar w:fldCharType="begin"/>
          </w:r>
          <w:r>
            <w:instrText xml:space="preserve"> PAGEREF _Toc91253735 \h </w:instrText>
          </w:r>
          <w:r>
            <w:fldChar w:fldCharType="separate"/>
          </w:r>
          <w:r>
            <w:t>8</w:t>
          </w:r>
          <w:r>
            <w:fldChar w:fldCharType="end"/>
          </w:r>
          <w:r>
            <w:fldChar w:fldCharType="end"/>
          </w:r>
        </w:p>
        <w:p>
          <w:pPr>
            <w:pStyle w:val="6"/>
            <w:rPr>
              <w:rFonts w:eastAsiaTheme="minorEastAsia"/>
              <w:sz w:val="21"/>
            </w:rPr>
          </w:pPr>
          <w:r>
            <w:fldChar w:fldCharType="begin"/>
          </w:r>
          <w:r>
            <w:instrText xml:space="preserve"> HYPERLINK \l "_Toc91253736" </w:instrText>
          </w:r>
          <w:r>
            <w:fldChar w:fldCharType="separate"/>
          </w:r>
          <w:r>
            <w:rPr>
              <w:rStyle w:val="12"/>
            </w:rPr>
            <w:t>3.助力“锦绣郫都”建设</w:t>
          </w:r>
          <w:r>
            <w:tab/>
          </w:r>
          <w:r>
            <w:fldChar w:fldCharType="begin"/>
          </w:r>
          <w:r>
            <w:instrText xml:space="preserve"> PAGEREF _Toc91253736 \h </w:instrText>
          </w:r>
          <w:r>
            <w:fldChar w:fldCharType="separate"/>
          </w:r>
          <w:r>
            <w:t>9</w:t>
          </w:r>
          <w:r>
            <w:fldChar w:fldCharType="end"/>
          </w:r>
          <w:r>
            <w:fldChar w:fldCharType="end"/>
          </w:r>
        </w:p>
        <w:p>
          <w:pPr>
            <w:pStyle w:val="6"/>
            <w:rPr>
              <w:rFonts w:eastAsiaTheme="minorEastAsia"/>
              <w:sz w:val="21"/>
            </w:rPr>
          </w:pPr>
          <w:r>
            <w:fldChar w:fldCharType="begin"/>
          </w:r>
          <w:r>
            <w:instrText xml:space="preserve"> HYPERLINK \l "_Toc91253737" </w:instrText>
          </w:r>
          <w:r>
            <w:fldChar w:fldCharType="separate"/>
          </w:r>
          <w:r>
            <w:rPr>
              <w:rStyle w:val="12"/>
            </w:rPr>
            <w:t>4.开创重点区域新局面</w:t>
          </w:r>
          <w:r>
            <w:tab/>
          </w:r>
          <w:r>
            <w:fldChar w:fldCharType="begin"/>
          </w:r>
          <w:r>
            <w:instrText xml:space="preserve"> PAGEREF _Toc91253737 \h </w:instrText>
          </w:r>
          <w:r>
            <w:fldChar w:fldCharType="separate"/>
          </w:r>
          <w:r>
            <w:t>10</w:t>
          </w:r>
          <w:r>
            <w:fldChar w:fldCharType="end"/>
          </w:r>
          <w:r>
            <w:fldChar w:fldCharType="end"/>
          </w:r>
        </w:p>
        <w:bookmarkEnd w:id="0"/>
        <w:p>
          <w:pPr>
            <w:pStyle w:val="10"/>
            <w:rPr>
              <w:rFonts w:eastAsiaTheme="minorEastAsia"/>
              <w:sz w:val="21"/>
            </w:rPr>
          </w:pPr>
          <w:r>
            <w:rPr>
              <w:rStyle w:val="12"/>
            </w:rPr>
            <w:fldChar w:fldCharType="begin"/>
          </w:r>
          <w:r>
            <w:rPr>
              <w:rStyle w:val="12"/>
            </w:rPr>
            <w:instrText xml:space="preserve"> </w:instrText>
          </w:r>
          <w:r>
            <w:instrText xml:space="preserve">HYPERLINK \l "_Toc91253738"</w:instrText>
          </w:r>
          <w:r>
            <w:rPr>
              <w:rStyle w:val="12"/>
            </w:rPr>
            <w:instrText xml:space="preserve"> </w:instrText>
          </w:r>
          <w:r>
            <w:rPr>
              <w:rStyle w:val="12"/>
            </w:rPr>
            <w:fldChar w:fldCharType="separate"/>
          </w:r>
          <w:r>
            <w:rPr>
              <w:rStyle w:val="12"/>
            </w:rPr>
            <w:t>（二）筑建知识产权保护新高地</w:t>
          </w:r>
          <w:r>
            <w:tab/>
          </w:r>
          <w:r>
            <w:fldChar w:fldCharType="begin"/>
          </w:r>
          <w:r>
            <w:instrText xml:space="preserve"> PAGEREF _Toc91253738 \h </w:instrText>
          </w:r>
          <w:r>
            <w:fldChar w:fldCharType="separate"/>
          </w:r>
          <w:r>
            <w:t>12</w:t>
          </w:r>
          <w:r>
            <w:fldChar w:fldCharType="end"/>
          </w:r>
          <w:r>
            <w:rPr>
              <w:rStyle w:val="12"/>
            </w:rPr>
            <w:fldChar w:fldCharType="end"/>
          </w:r>
        </w:p>
        <w:p>
          <w:pPr>
            <w:pStyle w:val="6"/>
            <w:rPr>
              <w:rFonts w:eastAsiaTheme="minorEastAsia"/>
              <w:sz w:val="21"/>
            </w:rPr>
          </w:pPr>
          <w:r>
            <w:fldChar w:fldCharType="begin"/>
          </w:r>
          <w:r>
            <w:instrText xml:space="preserve"> HYPERLINK \l "_Toc91253739" </w:instrText>
          </w:r>
          <w:r>
            <w:fldChar w:fldCharType="separate"/>
          </w:r>
          <w:r>
            <w:rPr>
              <w:rStyle w:val="12"/>
            </w:rPr>
            <w:t>1.强化知识产权行政保护</w:t>
          </w:r>
          <w:r>
            <w:tab/>
          </w:r>
          <w:r>
            <w:fldChar w:fldCharType="begin"/>
          </w:r>
          <w:r>
            <w:instrText xml:space="preserve"> PAGEREF _Toc91253739 \h </w:instrText>
          </w:r>
          <w:r>
            <w:fldChar w:fldCharType="separate"/>
          </w:r>
          <w:r>
            <w:t>12</w:t>
          </w:r>
          <w:r>
            <w:fldChar w:fldCharType="end"/>
          </w:r>
          <w:r>
            <w:fldChar w:fldCharType="end"/>
          </w:r>
        </w:p>
        <w:p>
          <w:pPr>
            <w:pStyle w:val="6"/>
            <w:rPr>
              <w:rFonts w:eastAsiaTheme="minorEastAsia"/>
              <w:sz w:val="21"/>
            </w:rPr>
          </w:pPr>
          <w:r>
            <w:fldChar w:fldCharType="begin"/>
          </w:r>
          <w:r>
            <w:instrText xml:space="preserve"> HYPERLINK \l "_Toc91253740" </w:instrText>
          </w:r>
          <w:r>
            <w:fldChar w:fldCharType="separate"/>
          </w:r>
          <w:r>
            <w:rPr>
              <w:rStyle w:val="12"/>
            </w:rPr>
            <w:t>2.加强知识产权司法保护</w:t>
          </w:r>
          <w:r>
            <w:tab/>
          </w:r>
          <w:r>
            <w:fldChar w:fldCharType="begin"/>
          </w:r>
          <w:r>
            <w:instrText xml:space="preserve"> PAGEREF _Toc91253740 \h </w:instrText>
          </w:r>
          <w:r>
            <w:fldChar w:fldCharType="separate"/>
          </w:r>
          <w:r>
            <w:t>13</w:t>
          </w:r>
          <w:r>
            <w:fldChar w:fldCharType="end"/>
          </w:r>
          <w:r>
            <w:fldChar w:fldCharType="end"/>
          </w:r>
        </w:p>
        <w:p>
          <w:pPr>
            <w:pStyle w:val="6"/>
            <w:rPr>
              <w:rFonts w:eastAsiaTheme="minorEastAsia"/>
              <w:sz w:val="21"/>
            </w:rPr>
          </w:pPr>
          <w:r>
            <w:fldChar w:fldCharType="begin"/>
          </w:r>
          <w:r>
            <w:instrText xml:space="preserve"> HYPERLINK \l "_Toc91253741" </w:instrText>
          </w:r>
          <w:r>
            <w:fldChar w:fldCharType="separate"/>
          </w:r>
          <w:r>
            <w:rPr>
              <w:rStyle w:val="12"/>
            </w:rPr>
            <w:t>3.完善知识产权协同保护</w:t>
          </w:r>
          <w:r>
            <w:tab/>
          </w:r>
          <w:r>
            <w:fldChar w:fldCharType="begin"/>
          </w:r>
          <w:r>
            <w:instrText xml:space="preserve"> PAGEREF _Toc91253741 \h </w:instrText>
          </w:r>
          <w:r>
            <w:fldChar w:fldCharType="separate"/>
          </w:r>
          <w:r>
            <w:t>14</w:t>
          </w:r>
          <w:r>
            <w:fldChar w:fldCharType="end"/>
          </w:r>
          <w:r>
            <w:fldChar w:fldCharType="end"/>
          </w:r>
        </w:p>
        <w:p>
          <w:pPr>
            <w:pStyle w:val="10"/>
            <w:rPr>
              <w:rFonts w:eastAsiaTheme="minorEastAsia"/>
              <w:sz w:val="21"/>
            </w:rPr>
          </w:pPr>
          <w:r>
            <w:fldChar w:fldCharType="begin"/>
          </w:r>
          <w:r>
            <w:instrText xml:space="preserve"> HYPERLINK \l "_Toc91253742" </w:instrText>
          </w:r>
          <w:r>
            <w:fldChar w:fldCharType="separate"/>
          </w:r>
          <w:r>
            <w:rPr>
              <w:rStyle w:val="12"/>
            </w:rPr>
            <w:t>（三）高质量推进知识产权创造</w:t>
          </w:r>
          <w:r>
            <w:tab/>
          </w:r>
          <w:r>
            <w:fldChar w:fldCharType="begin"/>
          </w:r>
          <w:r>
            <w:instrText xml:space="preserve"> PAGEREF _Toc91253742 \h </w:instrText>
          </w:r>
          <w:r>
            <w:fldChar w:fldCharType="separate"/>
          </w:r>
          <w:r>
            <w:t>15</w:t>
          </w:r>
          <w:r>
            <w:fldChar w:fldCharType="end"/>
          </w:r>
          <w:r>
            <w:fldChar w:fldCharType="end"/>
          </w:r>
        </w:p>
        <w:p>
          <w:pPr>
            <w:pStyle w:val="6"/>
            <w:rPr>
              <w:rFonts w:eastAsiaTheme="minorEastAsia"/>
              <w:sz w:val="21"/>
            </w:rPr>
          </w:pPr>
          <w:r>
            <w:fldChar w:fldCharType="begin"/>
          </w:r>
          <w:r>
            <w:instrText xml:space="preserve"> HYPERLINK \l "_Toc91253743" </w:instrText>
          </w:r>
          <w:r>
            <w:fldChar w:fldCharType="separate"/>
          </w:r>
          <w:r>
            <w:rPr>
              <w:rStyle w:val="12"/>
            </w:rPr>
            <w:t>1.高质量知识产权培育和布局</w:t>
          </w:r>
          <w:r>
            <w:tab/>
          </w:r>
          <w:r>
            <w:fldChar w:fldCharType="begin"/>
          </w:r>
          <w:r>
            <w:instrText xml:space="preserve"> PAGEREF _Toc91253743 \h </w:instrText>
          </w:r>
          <w:r>
            <w:fldChar w:fldCharType="separate"/>
          </w:r>
          <w:r>
            <w:t>15</w:t>
          </w:r>
          <w:r>
            <w:fldChar w:fldCharType="end"/>
          </w:r>
          <w:r>
            <w:fldChar w:fldCharType="end"/>
          </w:r>
        </w:p>
        <w:p>
          <w:pPr>
            <w:pStyle w:val="6"/>
            <w:rPr>
              <w:rFonts w:eastAsiaTheme="minorEastAsia"/>
              <w:sz w:val="21"/>
            </w:rPr>
          </w:pPr>
          <w:r>
            <w:fldChar w:fldCharType="begin"/>
          </w:r>
          <w:r>
            <w:instrText xml:space="preserve"> HYPERLINK \l "_Toc91253744" </w:instrText>
          </w:r>
          <w:r>
            <w:fldChar w:fldCharType="separate"/>
          </w:r>
          <w:r>
            <w:rPr>
              <w:rStyle w:val="12"/>
            </w:rPr>
            <w:t>2.激活各类创新主体活力</w:t>
          </w:r>
          <w:r>
            <w:tab/>
          </w:r>
          <w:r>
            <w:fldChar w:fldCharType="begin"/>
          </w:r>
          <w:r>
            <w:instrText xml:space="preserve"> PAGEREF _Toc91253744 \h </w:instrText>
          </w:r>
          <w:r>
            <w:fldChar w:fldCharType="separate"/>
          </w:r>
          <w:r>
            <w:t>16</w:t>
          </w:r>
          <w:r>
            <w:fldChar w:fldCharType="end"/>
          </w:r>
          <w:r>
            <w:fldChar w:fldCharType="end"/>
          </w:r>
        </w:p>
        <w:p>
          <w:pPr>
            <w:pStyle w:val="10"/>
            <w:rPr>
              <w:rFonts w:eastAsiaTheme="minorEastAsia"/>
              <w:sz w:val="21"/>
            </w:rPr>
          </w:pPr>
          <w:r>
            <w:fldChar w:fldCharType="begin"/>
          </w:r>
          <w:r>
            <w:instrText xml:space="preserve"> HYPERLINK \l "_Toc91253745" </w:instrText>
          </w:r>
          <w:r>
            <w:fldChar w:fldCharType="separate"/>
          </w:r>
          <w:r>
            <w:rPr>
              <w:rStyle w:val="12"/>
            </w:rPr>
            <w:t>（四）赋能产业推进转化运用</w:t>
          </w:r>
          <w:r>
            <w:tab/>
          </w:r>
          <w:r>
            <w:fldChar w:fldCharType="begin"/>
          </w:r>
          <w:r>
            <w:instrText xml:space="preserve"> PAGEREF _Toc91253745 \h </w:instrText>
          </w:r>
          <w:r>
            <w:fldChar w:fldCharType="separate"/>
          </w:r>
          <w:r>
            <w:t>17</w:t>
          </w:r>
          <w:r>
            <w:fldChar w:fldCharType="end"/>
          </w:r>
          <w:r>
            <w:fldChar w:fldCharType="end"/>
          </w:r>
        </w:p>
        <w:p>
          <w:pPr>
            <w:pStyle w:val="6"/>
            <w:rPr>
              <w:rFonts w:eastAsiaTheme="minorEastAsia"/>
              <w:sz w:val="21"/>
            </w:rPr>
          </w:pPr>
          <w:r>
            <w:fldChar w:fldCharType="begin"/>
          </w:r>
          <w:r>
            <w:instrText xml:space="preserve"> HYPERLINK \l "_Toc91253746" </w:instrText>
          </w:r>
          <w:r>
            <w:fldChar w:fldCharType="separate"/>
          </w:r>
          <w:r>
            <w:rPr>
              <w:rStyle w:val="12"/>
            </w:rPr>
            <w:t>1.促进知识产权成果交易转化</w:t>
          </w:r>
          <w:r>
            <w:tab/>
          </w:r>
          <w:r>
            <w:fldChar w:fldCharType="begin"/>
          </w:r>
          <w:r>
            <w:instrText xml:space="preserve"> PAGEREF _Toc91253746 \h </w:instrText>
          </w:r>
          <w:r>
            <w:fldChar w:fldCharType="separate"/>
          </w:r>
          <w:r>
            <w:t>17</w:t>
          </w:r>
          <w:r>
            <w:fldChar w:fldCharType="end"/>
          </w:r>
          <w:r>
            <w:fldChar w:fldCharType="end"/>
          </w:r>
        </w:p>
        <w:p>
          <w:pPr>
            <w:pStyle w:val="6"/>
            <w:rPr>
              <w:rFonts w:eastAsiaTheme="minorEastAsia"/>
              <w:sz w:val="21"/>
            </w:rPr>
          </w:pPr>
          <w:r>
            <w:fldChar w:fldCharType="begin"/>
          </w:r>
          <w:r>
            <w:instrText xml:space="preserve"> HYPERLINK \l "_Toc91253747" </w:instrText>
          </w:r>
          <w:r>
            <w:fldChar w:fldCharType="separate"/>
          </w:r>
          <w:r>
            <w:rPr>
              <w:rStyle w:val="12"/>
            </w:rPr>
            <w:t>2.推进知识产权金融创新</w:t>
          </w:r>
          <w:r>
            <w:tab/>
          </w:r>
          <w:r>
            <w:fldChar w:fldCharType="begin"/>
          </w:r>
          <w:r>
            <w:instrText xml:space="preserve"> PAGEREF _Toc91253747 \h </w:instrText>
          </w:r>
          <w:r>
            <w:fldChar w:fldCharType="separate"/>
          </w:r>
          <w:r>
            <w:t>18</w:t>
          </w:r>
          <w:r>
            <w:fldChar w:fldCharType="end"/>
          </w:r>
          <w:r>
            <w:fldChar w:fldCharType="end"/>
          </w:r>
        </w:p>
        <w:p>
          <w:pPr>
            <w:pStyle w:val="10"/>
            <w:rPr>
              <w:rFonts w:eastAsiaTheme="minorEastAsia"/>
              <w:sz w:val="21"/>
            </w:rPr>
          </w:pPr>
          <w:r>
            <w:fldChar w:fldCharType="begin"/>
          </w:r>
          <w:r>
            <w:instrText xml:space="preserve"> HYPERLINK \l "_Toc91253748" </w:instrText>
          </w:r>
          <w:r>
            <w:fldChar w:fldCharType="separate"/>
          </w:r>
          <w:r>
            <w:rPr>
              <w:rStyle w:val="12"/>
            </w:rPr>
            <w:t>（五）提档升级知识产权服务能级</w:t>
          </w:r>
          <w:r>
            <w:tab/>
          </w:r>
          <w:r>
            <w:fldChar w:fldCharType="begin"/>
          </w:r>
          <w:r>
            <w:instrText xml:space="preserve"> PAGEREF _Toc91253748 \h </w:instrText>
          </w:r>
          <w:r>
            <w:fldChar w:fldCharType="separate"/>
          </w:r>
          <w:r>
            <w:t>20</w:t>
          </w:r>
          <w:r>
            <w:fldChar w:fldCharType="end"/>
          </w:r>
          <w:r>
            <w:fldChar w:fldCharType="end"/>
          </w:r>
        </w:p>
        <w:p>
          <w:pPr>
            <w:pStyle w:val="6"/>
            <w:rPr>
              <w:rFonts w:eastAsiaTheme="minorEastAsia"/>
              <w:sz w:val="21"/>
            </w:rPr>
          </w:pPr>
          <w:r>
            <w:fldChar w:fldCharType="begin"/>
          </w:r>
          <w:r>
            <w:instrText xml:space="preserve"> HYPERLINK \l "_Toc91253749" </w:instrText>
          </w:r>
          <w:r>
            <w:fldChar w:fldCharType="separate"/>
          </w:r>
          <w:r>
            <w:rPr>
              <w:rStyle w:val="12"/>
            </w:rPr>
            <w:t>1.提升政府知识产权公共服务能力</w:t>
          </w:r>
          <w:r>
            <w:tab/>
          </w:r>
          <w:r>
            <w:fldChar w:fldCharType="begin"/>
          </w:r>
          <w:r>
            <w:instrText xml:space="preserve"> PAGEREF _Toc91253749 \h </w:instrText>
          </w:r>
          <w:r>
            <w:fldChar w:fldCharType="separate"/>
          </w:r>
          <w:r>
            <w:t>20</w:t>
          </w:r>
          <w:r>
            <w:fldChar w:fldCharType="end"/>
          </w:r>
          <w:r>
            <w:fldChar w:fldCharType="end"/>
          </w:r>
        </w:p>
        <w:p>
          <w:pPr>
            <w:pStyle w:val="6"/>
            <w:rPr>
              <w:rFonts w:eastAsiaTheme="minorEastAsia"/>
              <w:sz w:val="21"/>
            </w:rPr>
          </w:pPr>
          <w:r>
            <w:fldChar w:fldCharType="begin"/>
          </w:r>
          <w:r>
            <w:instrText xml:space="preserve"> HYPERLINK \l "_Toc91253750" </w:instrText>
          </w:r>
          <w:r>
            <w:fldChar w:fldCharType="separate"/>
          </w:r>
          <w:r>
            <w:rPr>
              <w:rStyle w:val="12"/>
            </w:rPr>
            <w:t>2.促进知识产权现代服务业发展</w:t>
          </w:r>
          <w:r>
            <w:tab/>
          </w:r>
          <w:r>
            <w:fldChar w:fldCharType="begin"/>
          </w:r>
          <w:r>
            <w:instrText xml:space="preserve"> PAGEREF _Toc91253750 \h </w:instrText>
          </w:r>
          <w:r>
            <w:fldChar w:fldCharType="separate"/>
          </w:r>
          <w:r>
            <w:t>20</w:t>
          </w:r>
          <w:r>
            <w:fldChar w:fldCharType="end"/>
          </w:r>
          <w:r>
            <w:fldChar w:fldCharType="end"/>
          </w:r>
        </w:p>
        <w:p>
          <w:pPr>
            <w:pStyle w:val="10"/>
            <w:rPr>
              <w:rFonts w:eastAsiaTheme="minorEastAsia"/>
              <w:sz w:val="21"/>
            </w:rPr>
          </w:pPr>
          <w:r>
            <w:fldChar w:fldCharType="begin"/>
          </w:r>
          <w:r>
            <w:instrText xml:space="preserve"> HYPERLINK \l "_Toc91253751" </w:instrText>
          </w:r>
          <w:r>
            <w:fldChar w:fldCharType="separate"/>
          </w:r>
          <w:r>
            <w:rPr>
              <w:rStyle w:val="12"/>
            </w:rPr>
            <w:t>（六）夯实知识产权发展基础</w:t>
          </w:r>
          <w:r>
            <w:tab/>
          </w:r>
          <w:r>
            <w:fldChar w:fldCharType="begin"/>
          </w:r>
          <w:r>
            <w:instrText xml:space="preserve"> PAGEREF _Toc91253751 \h </w:instrText>
          </w:r>
          <w:r>
            <w:fldChar w:fldCharType="separate"/>
          </w:r>
          <w:r>
            <w:t>21</w:t>
          </w:r>
          <w:r>
            <w:fldChar w:fldCharType="end"/>
          </w:r>
          <w:r>
            <w:fldChar w:fldCharType="end"/>
          </w:r>
        </w:p>
        <w:p>
          <w:pPr>
            <w:pStyle w:val="6"/>
            <w:rPr>
              <w:rFonts w:eastAsiaTheme="minorEastAsia"/>
              <w:sz w:val="21"/>
            </w:rPr>
          </w:pPr>
          <w:r>
            <w:fldChar w:fldCharType="begin"/>
          </w:r>
          <w:r>
            <w:instrText xml:space="preserve"> HYPERLINK \l "_Toc91253752" </w:instrText>
          </w:r>
          <w:r>
            <w:fldChar w:fldCharType="separate"/>
          </w:r>
          <w:r>
            <w:rPr>
              <w:rStyle w:val="12"/>
            </w:rPr>
            <w:t>1.加强知识产权人才队伍建设</w:t>
          </w:r>
          <w:r>
            <w:tab/>
          </w:r>
          <w:r>
            <w:fldChar w:fldCharType="begin"/>
          </w:r>
          <w:r>
            <w:instrText xml:space="preserve"> PAGEREF _Toc91253752 \h </w:instrText>
          </w:r>
          <w:r>
            <w:fldChar w:fldCharType="separate"/>
          </w:r>
          <w:r>
            <w:t>21</w:t>
          </w:r>
          <w:r>
            <w:fldChar w:fldCharType="end"/>
          </w:r>
          <w:r>
            <w:fldChar w:fldCharType="end"/>
          </w:r>
        </w:p>
        <w:p>
          <w:pPr>
            <w:pStyle w:val="6"/>
            <w:rPr>
              <w:rFonts w:eastAsiaTheme="minorEastAsia"/>
              <w:sz w:val="21"/>
            </w:rPr>
          </w:pPr>
          <w:r>
            <w:fldChar w:fldCharType="begin"/>
          </w:r>
          <w:r>
            <w:instrText xml:space="preserve"> HYPERLINK \l "_Toc91253753" </w:instrText>
          </w:r>
          <w:r>
            <w:fldChar w:fldCharType="separate"/>
          </w:r>
          <w:r>
            <w:rPr>
              <w:rStyle w:val="12"/>
            </w:rPr>
            <w:t>2.加强知识产权宣传教育</w:t>
          </w:r>
          <w:r>
            <w:tab/>
          </w:r>
          <w:r>
            <w:fldChar w:fldCharType="begin"/>
          </w:r>
          <w:r>
            <w:instrText xml:space="preserve"> PAGEREF _Toc91253753 \h </w:instrText>
          </w:r>
          <w:r>
            <w:fldChar w:fldCharType="separate"/>
          </w:r>
          <w:r>
            <w:t>22</w:t>
          </w:r>
          <w:r>
            <w:fldChar w:fldCharType="end"/>
          </w:r>
          <w:r>
            <w:fldChar w:fldCharType="end"/>
          </w:r>
        </w:p>
        <w:p>
          <w:pPr>
            <w:pStyle w:val="9"/>
            <w:tabs>
              <w:tab w:val="left" w:pos="1680"/>
              <w:tab w:val="right" w:pos="8296"/>
            </w:tabs>
            <w:spacing w:before="156"/>
            <w:ind w:firstLine="640"/>
            <w:rPr>
              <w:rFonts w:eastAsiaTheme="minorEastAsia"/>
              <w:sz w:val="21"/>
            </w:rPr>
          </w:pPr>
          <w:r>
            <w:fldChar w:fldCharType="begin"/>
          </w:r>
          <w:r>
            <w:instrText xml:space="preserve"> HYPERLINK \l "_Toc91253754" </w:instrText>
          </w:r>
          <w:r>
            <w:fldChar w:fldCharType="separate"/>
          </w:r>
          <w:r>
            <w:rPr>
              <w:rStyle w:val="12"/>
            </w:rPr>
            <w:t>五、</w:t>
          </w:r>
          <w:r>
            <w:rPr>
              <w:rFonts w:eastAsiaTheme="minorEastAsia"/>
              <w:sz w:val="21"/>
            </w:rPr>
            <w:tab/>
          </w:r>
          <w:r>
            <w:rPr>
              <w:rStyle w:val="12"/>
            </w:rPr>
            <w:t>保障措施</w:t>
          </w:r>
          <w:r>
            <w:tab/>
          </w:r>
          <w:r>
            <w:fldChar w:fldCharType="begin"/>
          </w:r>
          <w:r>
            <w:instrText xml:space="preserve"> PAGEREF _Toc91253754 \h </w:instrText>
          </w:r>
          <w:r>
            <w:fldChar w:fldCharType="separate"/>
          </w:r>
          <w:r>
            <w:t>23</w:t>
          </w:r>
          <w:r>
            <w:fldChar w:fldCharType="end"/>
          </w:r>
          <w:r>
            <w:fldChar w:fldCharType="end"/>
          </w:r>
        </w:p>
        <w:p>
          <w:pPr>
            <w:pStyle w:val="10"/>
            <w:rPr>
              <w:rFonts w:eastAsiaTheme="minorEastAsia"/>
              <w:sz w:val="21"/>
            </w:rPr>
          </w:pPr>
          <w:r>
            <w:fldChar w:fldCharType="begin"/>
          </w:r>
          <w:r>
            <w:instrText xml:space="preserve"> HYPERLINK \l "_Toc91253755" </w:instrText>
          </w:r>
          <w:r>
            <w:fldChar w:fldCharType="separate"/>
          </w:r>
          <w:r>
            <w:rPr>
              <w:rStyle w:val="12"/>
            </w:rPr>
            <w:t>（一）加强组织领导</w:t>
          </w:r>
          <w:r>
            <w:tab/>
          </w:r>
          <w:r>
            <w:fldChar w:fldCharType="begin"/>
          </w:r>
          <w:r>
            <w:instrText xml:space="preserve"> PAGEREF _Toc91253755 \h </w:instrText>
          </w:r>
          <w:r>
            <w:fldChar w:fldCharType="separate"/>
          </w:r>
          <w:r>
            <w:t>23</w:t>
          </w:r>
          <w:r>
            <w:fldChar w:fldCharType="end"/>
          </w:r>
          <w:r>
            <w:fldChar w:fldCharType="end"/>
          </w:r>
        </w:p>
        <w:p>
          <w:pPr>
            <w:pStyle w:val="10"/>
            <w:rPr>
              <w:rFonts w:eastAsiaTheme="minorEastAsia"/>
              <w:sz w:val="21"/>
            </w:rPr>
          </w:pPr>
          <w:r>
            <w:fldChar w:fldCharType="begin"/>
          </w:r>
          <w:r>
            <w:instrText xml:space="preserve"> HYPERLINK \l "_Toc91253756" </w:instrText>
          </w:r>
          <w:r>
            <w:fldChar w:fldCharType="separate"/>
          </w:r>
          <w:r>
            <w:rPr>
              <w:rStyle w:val="12"/>
            </w:rPr>
            <w:t>（二）强化资源配套</w:t>
          </w:r>
          <w:r>
            <w:tab/>
          </w:r>
          <w:r>
            <w:fldChar w:fldCharType="begin"/>
          </w:r>
          <w:r>
            <w:instrText xml:space="preserve"> PAGEREF _Toc91253756 \h </w:instrText>
          </w:r>
          <w:r>
            <w:fldChar w:fldCharType="separate"/>
          </w:r>
          <w:r>
            <w:t>23</w:t>
          </w:r>
          <w:r>
            <w:fldChar w:fldCharType="end"/>
          </w:r>
          <w:r>
            <w:fldChar w:fldCharType="end"/>
          </w:r>
        </w:p>
        <w:p>
          <w:pPr>
            <w:pStyle w:val="10"/>
            <w:rPr>
              <w:rFonts w:eastAsiaTheme="minorEastAsia"/>
              <w:sz w:val="21"/>
            </w:rPr>
          </w:pPr>
          <w:r>
            <w:fldChar w:fldCharType="begin"/>
          </w:r>
          <w:r>
            <w:instrText xml:space="preserve"> HYPERLINK \l "_Toc91253757" </w:instrText>
          </w:r>
          <w:r>
            <w:fldChar w:fldCharType="separate"/>
          </w:r>
          <w:r>
            <w:rPr>
              <w:rStyle w:val="12"/>
            </w:rPr>
            <w:t>（三）优化考核评估</w:t>
          </w:r>
          <w:r>
            <w:tab/>
          </w:r>
          <w:r>
            <w:fldChar w:fldCharType="begin"/>
          </w:r>
          <w:r>
            <w:instrText xml:space="preserve"> PAGEREF _Toc91253757 \h </w:instrText>
          </w:r>
          <w:r>
            <w:fldChar w:fldCharType="separate"/>
          </w:r>
          <w:r>
            <w:t>24</w:t>
          </w:r>
          <w:r>
            <w:fldChar w:fldCharType="end"/>
          </w:r>
          <w:r>
            <w:fldChar w:fldCharType="end"/>
          </w:r>
        </w:p>
        <w:p>
          <w:pPr>
            <w:pStyle w:val="10"/>
            <w:ind w:firstLine="643"/>
            <w:rPr>
              <w:rFonts w:ascii="仿宋_GB2312"/>
            </w:rPr>
          </w:pPr>
          <w:r>
            <w:rPr>
              <w:rFonts w:hint="eastAsia" w:ascii="仿宋_GB2312"/>
              <w:b/>
              <w:bCs/>
              <w:lang w:val="zh-CN"/>
            </w:rPr>
            <w:fldChar w:fldCharType="end"/>
          </w:r>
        </w:p>
      </w:sdtContent>
    </w:sdt>
    <w:p>
      <w:pPr>
        <w:spacing w:before="156"/>
        <w:ind w:firstLine="0" w:firstLineChars="0"/>
        <w:jc w:val="center"/>
        <w:rPr>
          <w:rFonts w:ascii="方正小标宋简体" w:eastAsia="方正小标宋简体"/>
          <w:sz w:val="44"/>
          <w:szCs w:val="44"/>
        </w:rPr>
      </w:pPr>
    </w:p>
    <w:p>
      <w:pPr>
        <w:spacing w:before="156"/>
        <w:ind w:firstLine="0" w:firstLineChars="0"/>
        <w:jc w:val="center"/>
        <w:rPr>
          <w:rFonts w:ascii="方正小标宋简体" w:eastAsia="方正小标宋简体"/>
          <w:sz w:val="44"/>
          <w:szCs w:val="44"/>
        </w:rPr>
        <w:sectPr>
          <w:pgSz w:w="11906" w:h="16838"/>
          <w:pgMar w:top="1440" w:right="1800" w:bottom="1440" w:left="1800" w:header="851" w:footer="992" w:gutter="0"/>
          <w:pgNumType w:fmt="upperRoman" w:start="1"/>
          <w:cols w:space="425" w:num="1"/>
          <w:docGrid w:type="lines" w:linePitch="312" w:charSpace="0"/>
        </w:sectPr>
      </w:pPr>
    </w:p>
    <w:p>
      <w:pPr>
        <w:spacing w:before="156"/>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成都市郫都区“十四五”知识产权</w:t>
      </w:r>
    </w:p>
    <w:p>
      <w:pPr>
        <w:spacing w:before="156"/>
        <w:ind w:firstLine="0" w:firstLineChars="0"/>
        <w:jc w:val="center"/>
        <w:rPr>
          <w:rFonts w:ascii="方正小标宋简体" w:eastAsia="方正小标宋简体"/>
          <w:sz w:val="44"/>
          <w:szCs w:val="44"/>
        </w:rPr>
      </w:pPr>
      <w:r>
        <w:rPr>
          <w:rFonts w:hint="eastAsia" w:ascii="方正小标宋简体" w:eastAsia="方正小标宋简体"/>
          <w:sz w:val="44"/>
          <w:szCs w:val="44"/>
        </w:rPr>
        <w:t>保护和运用规划</w:t>
      </w:r>
    </w:p>
    <w:p>
      <w:pPr>
        <w:keepNext/>
        <w:keepLines/>
        <w:numPr>
          <w:ilvl w:val="0"/>
          <w:numId w:val="0"/>
        </w:numPr>
        <w:spacing w:before="156"/>
        <w:ind w:leftChars="200" w:firstLine="2240" w:firstLineChars="700"/>
        <w:outlineLvl w:val="0"/>
        <w:rPr>
          <w:rFonts w:hint="eastAsia" w:eastAsia="黑体"/>
          <w:bCs/>
          <w:kern w:val="44"/>
          <w:szCs w:val="44"/>
          <w:lang w:eastAsia="zh-CN"/>
        </w:rPr>
      </w:pPr>
      <w:bookmarkStart w:id="1" w:name="_Toc91253720"/>
      <w:r>
        <w:rPr>
          <w:rFonts w:hint="eastAsia" w:ascii="方正仿宋" w:hAnsi="方正仿宋" w:eastAsia="方正仿宋" w:cs="方正仿宋"/>
          <w:kern w:val="0"/>
          <w:sz w:val="32"/>
          <w:szCs w:val="32"/>
          <w:lang w:val="en-US" w:eastAsia="zh-CN" w:bidi="ar-SA"/>
        </w:rPr>
        <w:t>（</w:t>
      </w:r>
      <w:r>
        <w:rPr>
          <w:rFonts w:hint="eastAsia" w:ascii="仿宋_GB2312" w:eastAsia="仿宋_GB2312"/>
          <w:sz w:val="32"/>
          <w:szCs w:val="32"/>
        </w:rPr>
        <w:t>修订</w:t>
      </w:r>
      <w:r>
        <w:rPr>
          <w:rFonts w:hint="eastAsia" w:ascii="方正仿宋" w:hAnsi="方正仿宋" w:eastAsia="方正仿宋" w:cs="方正仿宋"/>
          <w:kern w:val="0"/>
          <w:sz w:val="32"/>
          <w:szCs w:val="32"/>
          <w:lang w:val="en-US" w:eastAsia="zh-CN" w:bidi="ar-SA"/>
        </w:rPr>
        <w:t>征求意见稿）</w:t>
      </w:r>
    </w:p>
    <w:p>
      <w:pPr>
        <w:keepNext/>
        <w:keepLines/>
        <w:numPr>
          <w:ilvl w:val="0"/>
          <w:numId w:val="0"/>
        </w:numPr>
        <w:spacing w:before="156"/>
        <w:ind w:leftChars="200"/>
        <w:outlineLvl w:val="0"/>
        <w:rPr>
          <w:rFonts w:eastAsia="黑体"/>
          <w:bCs/>
          <w:kern w:val="44"/>
          <w:szCs w:val="44"/>
        </w:rPr>
      </w:pPr>
      <w:r>
        <w:rPr>
          <w:rFonts w:hint="eastAsia" w:eastAsia="黑体"/>
          <w:bCs/>
          <w:kern w:val="44"/>
          <w:szCs w:val="44"/>
          <w:lang w:eastAsia="zh-CN"/>
        </w:rPr>
        <w:t>一、</w:t>
      </w:r>
      <w:r>
        <w:rPr>
          <w:rFonts w:eastAsia="黑体"/>
          <w:bCs/>
          <w:kern w:val="44"/>
          <w:szCs w:val="44"/>
        </w:rPr>
        <w:t>“十三五”</w:t>
      </w:r>
      <w:r>
        <w:rPr>
          <w:rFonts w:hint="eastAsia" w:eastAsia="黑体"/>
          <w:bCs/>
          <w:kern w:val="44"/>
          <w:szCs w:val="44"/>
        </w:rPr>
        <w:t>发展回顾</w:t>
      </w:r>
      <w:bookmarkEnd w:id="1"/>
    </w:p>
    <w:p>
      <w:pPr>
        <w:spacing w:before="156"/>
        <w:ind w:firstLine="640"/>
      </w:pPr>
      <w:r>
        <w:rPr>
          <w:rFonts w:hint="eastAsia"/>
        </w:rPr>
        <w:t>保护知识产权就是保护创新，“十三五”时期，郫都区委、区政府坚持把创新作为引领发展的第一动力，大力提升知识产权创造质量、运用效益、管理效能和服务水平，全区知识产权工作取得有效发展。</w:t>
      </w:r>
    </w:p>
    <w:p>
      <w:pPr>
        <w:spacing w:before="156" w:line="600" w:lineRule="exact"/>
        <w:ind w:firstLine="640"/>
        <w:outlineLvl w:val="1"/>
        <w:rPr>
          <w:rFonts w:ascii="楷体" w:hAnsi="楷体" w:eastAsia="楷体" w:cs="Times New Roman"/>
          <w:szCs w:val="32"/>
        </w:rPr>
      </w:pPr>
      <w:bookmarkStart w:id="2" w:name="_Toc91253721"/>
      <w:r>
        <w:rPr>
          <w:rFonts w:hint="eastAsia" w:ascii="楷体" w:hAnsi="楷体" w:eastAsia="楷体" w:cs="Times New Roman"/>
          <w:szCs w:val="32"/>
        </w:rPr>
        <w:t>（一）知识产权创造量质齐升。</w:t>
      </w:r>
      <w:bookmarkEnd w:id="2"/>
    </w:p>
    <w:p>
      <w:pPr>
        <w:spacing w:before="156"/>
        <w:ind w:firstLine="640"/>
      </w:pPr>
      <w:r>
        <w:rPr>
          <w:rFonts w:hint="eastAsia"/>
        </w:rPr>
        <w:t>“十三五”期间，郫都区专利申请15786件，是“十二五”的3.2倍，其中发明专利申请6158件，是“十二五”的4.0倍；专利授权10440件，是“十二五”的2.6倍；有效发明818件，是“十二五”的1.3倍；每万人口高价值发明专利拥有量1</w:t>
      </w:r>
      <w:r>
        <w:t>2</w:t>
      </w:r>
      <w:r>
        <w:rPr>
          <w:rFonts w:hint="eastAsia"/>
        </w:rPr>
        <w:t>件；有效注册商标总量</w:t>
      </w:r>
      <w:r>
        <w:t>16794</w:t>
      </w:r>
      <w:r>
        <w:rPr>
          <w:rFonts w:hint="eastAsia"/>
        </w:rPr>
        <w:t>件；获批地理标志保护产品</w:t>
      </w:r>
      <w:r>
        <w:t>2</w:t>
      </w:r>
      <w:r>
        <w:rPr>
          <w:rFonts w:hint="eastAsia"/>
        </w:rPr>
        <w:t>个。</w:t>
      </w:r>
    </w:p>
    <w:p>
      <w:pPr>
        <w:spacing w:before="156" w:line="600" w:lineRule="exact"/>
        <w:ind w:firstLine="640"/>
        <w:outlineLvl w:val="1"/>
        <w:rPr>
          <w:rFonts w:ascii="楷体" w:hAnsi="楷体" w:eastAsia="楷体" w:cs="Times New Roman"/>
          <w:szCs w:val="32"/>
        </w:rPr>
      </w:pPr>
      <w:bookmarkStart w:id="3" w:name="_Toc91253722"/>
      <w:r>
        <w:rPr>
          <w:rFonts w:hint="eastAsia" w:ascii="楷体" w:hAnsi="楷体" w:eastAsia="楷体" w:cs="Times New Roman"/>
          <w:szCs w:val="32"/>
        </w:rPr>
        <w:t>（二）知识产权运用成效突出。</w:t>
      </w:r>
      <w:bookmarkEnd w:id="3"/>
    </w:p>
    <w:p>
      <w:pPr>
        <w:spacing w:before="156"/>
        <w:ind w:firstLine="640"/>
        <w:rPr>
          <w:rFonts w:ascii="楷体" w:hAnsi="楷体" w:eastAsia="楷体" w:cs="Times New Roman"/>
          <w:szCs w:val="32"/>
        </w:rPr>
      </w:pPr>
      <w:r>
        <w:rPr>
          <w:rFonts w:hint="eastAsia" w:ascii="仿宋_GB2312" w:hAnsi="仿宋_GB2312" w:cs="仿宋_GB2312"/>
          <w:szCs w:val="32"/>
        </w:rPr>
        <w:t>形成了完备的知识产权转移转化机制，建设一支</w:t>
      </w:r>
      <w:r>
        <w:rPr>
          <w:rFonts w:hint="eastAsia" w:ascii="仿宋_GB2312" w:hAnsi="仿宋_GB2312" w:cs="仿宋_GB2312"/>
          <w:bCs/>
          <w:szCs w:val="32"/>
        </w:rPr>
        <w:t>知识产权经纪人队伍，以高价值专利大赛促进运用，</w:t>
      </w:r>
      <w:r>
        <w:rPr>
          <w:rFonts w:hint="eastAsia" w:ascii="仿宋_GB2312" w:hAnsi="仿宋_GB2312" w:cs="仿宋_GB2312"/>
          <w:szCs w:val="32"/>
        </w:rPr>
        <w:t>引导一批高价值专利项目落地转化。以高新技术企业、知识产权示范类企业为重点，建立首批有40家企业的知识产权优势企业培育库，个性化匹配专利挖掘、数据分析、价值评估等增值服务。</w:t>
      </w:r>
    </w:p>
    <w:p>
      <w:pPr>
        <w:spacing w:before="156"/>
        <w:ind w:firstLine="640"/>
        <w:rPr>
          <w:rFonts w:ascii="楷体" w:hAnsi="楷体" w:eastAsia="楷体" w:cs="Times New Roman"/>
          <w:szCs w:val="32"/>
        </w:rPr>
      </w:pPr>
      <w:r>
        <w:rPr>
          <w:rFonts w:hint="eastAsia" w:ascii="楷体" w:hAnsi="楷体" w:eastAsia="楷体" w:cs="Times New Roman"/>
          <w:szCs w:val="32"/>
        </w:rPr>
        <w:t>（三）知识产权保护环境优化。</w:t>
      </w:r>
    </w:p>
    <w:p>
      <w:pPr>
        <w:spacing w:before="156"/>
        <w:ind w:firstLine="640"/>
      </w:pPr>
      <w:r>
        <w:t>2020</w:t>
      </w:r>
      <w:r>
        <w:rPr>
          <w:rFonts w:hint="eastAsia"/>
        </w:rPr>
        <w:t>年，成都市郫都区人民法院共受理知识产权民事、刑事和行政案件</w:t>
      </w:r>
      <w:r>
        <w:t>758</w:t>
      </w:r>
      <w:r>
        <w:rPr>
          <w:rFonts w:hint="eastAsia"/>
        </w:rPr>
        <w:t>件，结案总数</w:t>
      </w:r>
      <w:r>
        <w:t>756</w:t>
      </w:r>
      <w:r>
        <w:rPr>
          <w:rFonts w:hint="eastAsia"/>
        </w:rPr>
        <w:t>件，结案率9</w:t>
      </w:r>
      <w:r>
        <w:t>9.7</w:t>
      </w:r>
      <w:r>
        <w:rPr>
          <w:rFonts w:hint="eastAsia"/>
        </w:rPr>
        <w:t>%，平均审理时间59.5天；推进民事诉讼繁简分流改革，对图片类和音乐类案件适用小额诉讼程序，180余件案件一审终审。推进知识产权纠纷多元化解决机制建设，2020年全区非诉纠纷调解机构共16家，办理知识产权仲裁和调解案件4</w:t>
      </w:r>
      <w:r>
        <w:t>00</w:t>
      </w:r>
      <w:r>
        <w:rPr>
          <w:rFonts w:hint="eastAsia"/>
        </w:rPr>
        <w:t>余件。2019年9月，郫都区知识产权促进服务中心加挂“中国（四川）知识产权保护中心郫都分中心”牌子，在全国区（县）级城市中率先取得专利自主预审资格，缩短发明专利授权周期50%~60%、实用新型专利授权周期40%~50%。</w:t>
      </w:r>
    </w:p>
    <w:p>
      <w:pPr>
        <w:spacing w:before="156" w:line="600" w:lineRule="exact"/>
        <w:ind w:firstLine="640"/>
        <w:outlineLvl w:val="1"/>
        <w:rPr>
          <w:rFonts w:ascii="楷体" w:hAnsi="楷体" w:eastAsia="楷体" w:cs="Times New Roman"/>
          <w:szCs w:val="32"/>
        </w:rPr>
      </w:pPr>
      <w:bookmarkStart w:id="4" w:name="_Toc91253723"/>
      <w:r>
        <w:rPr>
          <w:rFonts w:hint="eastAsia" w:ascii="楷体" w:hAnsi="楷体" w:eastAsia="楷体" w:cs="Times New Roman"/>
          <w:szCs w:val="32"/>
        </w:rPr>
        <w:t>（四）</w:t>
      </w:r>
      <w:r>
        <w:rPr>
          <w:rFonts w:ascii="Times New Roman" w:hAnsi="Times New Roman" w:eastAsia="楷体" w:cs="Times New Roman"/>
          <w:szCs w:val="32"/>
        </w:rPr>
        <w:t>知识产权管理</w:t>
      </w:r>
      <w:r>
        <w:rPr>
          <w:rFonts w:hint="eastAsia" w:ascii="Times New Roman" w:hAnsi="Times New Roman" w:eastAsia="楷体" w:cs="Times New Roman"/>
          <w:szCs w:val="32"/>
        </w:rPr>
        <w:t>推陈出新</w:t>
      </w:r>
      <w:r>
        <w:rPr>
          <w:rFonts w:hint="eastAsia" w:ascii="楷体" w:hAnsi="楷体" w:eastAsia="楷体" w:cs="Times New Roman"/>
          <w:szCs w:val="32"/>
        </w:rPr>
        <w:t>。</w:t>
      </w:r>
      <w:bookmarkEnd w:id="4"/>
    </w:p>
    <w:p>
      <w:pPr>
        <w:spacing w:before="156"/>
        <w:ind w:firstLine="640"/>
      </w:pPr>
      <w:r>
        <w:t>2017</w:t>
      </w:r>
      <w:r>
        <w:rPr>
          <w:rFonts w:hint="eastAsia"/>
        </w:rPr>
        <w:t>年，按照党中央、国务院关于系统推进全面创新改革的要求，聚焦全国双创示范基地建设，率先成立成都市郫都区知识产权局，开展专利、商标、版权等领域，知识产权管理、行政执法、服务“三合一”改革，打通知识产权创造、运用、保护、管理、服务全链条。</w:t>
      </w:r>
      <w:r>
        <w:t>2019年，在新一轮机构改革中，设立</w:t>
      </w:r>
      <w:r>
        <w:rPr>
          <w:rFonts w:hint="eastAsia"/>
        </w:rPr>
        <w:t>了郫都区知识产权促进服务中心</w:t>
      </w:r>
      <w:r>
        <w:t>，构建了“局+</w:t>
      </w:r>
      <w:r>
        <w:rPr>
          <w:rFonts w:hint="eastAsia"/>
        </w:rPr>
        <w:t>促进服务</w:t>
      </w:r>
      <w:r>
        <w:t>中心”的新型知识产权管理体制，探索建立了集快速授权、快速确权、快速维权为一体的协调联动机制。</w:t>
      </w:r>
    </w:p>
    <w:p>
      <w:pPr>
        <w:spacing w:before="156" w:line="600" w:lineRule="exact"/>
        <w:ind w:firstLine="640"/>
        <w:outlineLvl w:val="1"/>
        <w:rPr>
          <w:rFonts w:ascii="楷体" w:hAnsi="楷体" w:eastAsia="楷体" w:cs="Times New Roman"/>
          <w:szCs w:val="32"/>
        </w:rPr>
      </w:pPr>
      <w:bookmarkStart w:id="5" w:name="_Toc91253724"/>
      <w:r>
        <w:rPr>
          <w:rFonts w:hint="eastAsia" w:ascii="楷体" w:hAnsi="楷体" w:eastAsia="楷体" w:cs="Times New Roman"/>
          <w:szCs w:val="32"/>
        </w:rPr>
        <w:t>（五）知识产权服务多措并举。</w:t>
      </w:r>
      <w:bookmarkEnd w:id="5"/>
    </w:p>
    <w:p>
      <w:pPr>
        <w:spacing w:before="156"/>
        <w:ind w:firstLine="640"/>
      </w:pPr>
      <w:r>
        <w:rPr>
          <w:rFonts w:hint="eastAsia"/>
        </w:rPr>
        <w:t>成立了“成都市郫都区知识产权协会”，积极参与知识产权保护社会共治；区法院建立知识产权专家库；成立了成都市郫都区知识产权维权工作站</w:t>
      </w:r>
      <w:r>
        <w:t>14</w:t>
      </w:r>
      <w:r>
        <w:rPr>
          <w:rFonts w:hint="eastAsia"/>
        </w:rPr>
        <w:t>家，；组建区知识产权转移转化办公室，完善知识产权转移转化机制；联合组建“郫都区知识产权专家服务团”，为入库企业免费提供各类知识产权服务；建立企业网上自助申报系统；建成成都影视城版权运营中心，为版权运营提供原创认证、交易授权、转移转化、维权咨询等服务。</w:t>
      </w:r>
    </w:p>
    <w:p>
      <w:pPr>
        <w:spacing w:before="156" w:line="600" w:lineRule="exact"/>
        <w:ind w:firstLine="640"/>
        <w:outlineLvl w:val="1"/>
        <w:rPr>
          <w:rFonts w:ascii="楷体" w:hAnsi="楷体" w:eastAsia="楷体" w:cs="Times New Roman"/>
          <w:szCs w:val="32"/>
        </w:rPr>
      </w:pPr>
      <w:bookmarkStart w:id="6" w:name="_Toc91253725"/>
      <w:r>
        <w:rPr>
          <w:rFonts w:ascii="楷体" w:hAnsi="楷体" w:eastAsia="楷体" w:cs="Times New Roman"/>
          <w:szCs w:val="32"/>
        </w:rPr>
        <w:t>（</w:t>
      </w:r>
      <w:r>
        <w:rPr>
          <w:rFonts w:hint="eastAsia" w:ascii="楷体" w:hAnsi="楷体" w:eastAsia="楷体" w:cs="Times New Roman"/>
          <w:szCs w:val="32"/>
        </w:rPr>
        <w:t>六</w:t>
      </w:r>
      <w:r>
        <w:rPr>
          <w:rFonts w:ascii="楷体" w:hAnsi="楷体" w:eastAsia="楷体" w:cs="Times New Roman"/>
          <w:szCs w:val="32"/>
        </w:rPr>
        <w:t>）知识产权</w:t>
      </w:r>
      <w:r>
        <w:rPr>
          <w:rFonts w:hint="eastAsia" w:ascii="楷体" w:hAnsi="楷体" w:eastAsia="楷体" w:cs="Times New Roman"/>
          <w:szCs w:val="32"/>
        </w:rPr>
        <w:t>宣教不断强化。</w:t>
      </w:r>
      <w:bookmarkEnd w:id="6"/>
    </w:p>
    <w:p>
      <w:pPr>
        <w:spacing w:before="156"/>
        <w:ind w:firstLine="640"/>
      </w:pPr>
      <w:r>
        <w:rPr>
          <w:rFonts w:hint="eastAsia" w:ascii="Times New Roman" w:hAnsi="Times New Roman"/>
        </w:rPr>
        <w:t>建立全省首个</w:t>
      </w:r>
      <w:r>
        <w:rPr>
          <w:rFonts w:hint="eastAsia"/>
        </w:rPr>
        <w:t>青少年知识产权教育基地；开展“科创扬帆，知产护航青少年学生知识产权研学菁英班”活动，探索“知+教”融合创新发展路径；出版全区首本知识产权科普类书籍；建成以清水河公园为主体的知识产权文化长廊生态氧吧；依托“4.2</w:t>
      </w:r>
      <w:r>
        <w:t xml:space="preserve">6 </w:t>
      </w:r>
      <w:r>
        <w:rPr>
          <w:rFonts w:hint="eastAsia"/>
        </w:rPr>
        <w:t>世界知识产权宣传活动周”，组织知识产权宣传、研讨培训、案审旁听等活动，持续优化知识产权公众教育。</w:t>
      </w:r>
    </w:p>
    <w:p>
      <w:pPr>
        <w:spacing w:before="156" w:line="600" w:lineRule="exact"/>
        <w:ind w:firstLine="640"/>
        <w:outlineLvl w:val="1"/>
        <w:rPr>
          <w:rFonts w:ascii="楷体" w:hAnsi="楷体" w:eastAsia="楷体" w:cs="Times New Roman"/>
          <w:szCs w:val="32"/>
        </w:rPr>
      </w:pPr>
      <w:bookmarkStart w:id="7" w:name="_Toc91253726"/>
      <w:r>
        <w:rPr>
          <w:rFonts w:ascii="楷体" w:hAnsi="楷体" w:eastAsia="楷体" w:cs="Times New Roman"/>
          <w:szCs w:val="32"/>
        </w:rPr>
        <w:t>（</w:t>
      </w:r>
      <w:r>
        <w:rPr>
          <w:rFonts w:hint="eastAsia" w:ascii="楷体" w:hAnsi="楷体" w:eastAsia="楷体" w:cs="Times New Roman"/>
          <w:szCs w:val="32"/>
        </w:rPr>
        <w:t>七</w:t>
      </w:r>
      <w:r>
        <w:rPr>
          <w:rFonts w:ascii="楷体" w:hAnsi="楷体" w:eastAsia="楷体" w:cs="Times New Roman"/>
          <w:szCs w:val="32"/>
        </w:rPr>
        <w:t>）</w:t>
      </w:r>
      <w:r>
        <w:rPr>
          <w:rFonts w:hint="eastAsia" w:ascii="楷体" w:hAnsi="楷体" w:eastAsia="楷体" w:cs="Times New Roman"/>
          <w:szCs w:val="32"/>
        </w:rPr>
        <w:t>深度融入区域经济发展。</w:t>
      </w:r>
      <w:bookmarkEnd w:id="7"/>
    </w:p>
    <w:p>
      <w:pPr>
        <w:spacing w:before="156"/>
        <w:ind w:firstLine="640"/>
      </w:pPr>
      <w:r>
        <w:rPr>
          <w:rFonts w:hint="eastAsia" w:ascii="仿宋" w:hAnsi="仿宋"/>
        </w:rPr>
        <w:t>积极与重庆市两江新区、永川等9个区（市）县对接交流，</w:t>
      </w:r>
      <w:r>
        <w:rPr>
          <w:rFonts w:ascii="仿宋" w:hAnsi="仿宋"/>
        </w:rPr>
        <w:t>切实推进</w:t>
      </w:r>
      <w:r>
        <w:rPr>
          <w:rFonts w:hint="eastAsia" w:ascii="仿宋" w:hAnsi="仿宋"/>
        </w:rPr>
        <w:t>落实成渝地区双城经济圈、成德眉资同城化发展战略部署</w:t>
      </w:r>
      <w:r>
        <w:rPr>
          <w:rFonts w:hint="eastAsia"/>
        </w:rPr>
        <w:t>；助力功能区招商引资，完成电子信息产业、影视文创产业知识产权导航，完成氢能产业专利导航，为产业结构优化、精准招商引智提供依据；建成双招双引专利大数据导航平台，实现对创新型企业和人才精准推荐；实施知识产权强企培育工程，建设知识产权金融试验区，优化创新创业环境；实施郫县豆瓣地理标志运用促进工程，增强知识产权综合运用效益；建成以菁蓉镇为主体的知识产权特色小镇，实现知识产权全生态链资源聚合，激发了创新创业活力。</w:t>
      </w:r>
    </w:p>
    <w:p>
      <w:pPr>
        <w:spacing w:before="156"/>
        <w:ind w:firstLine="640"/>
        <w:rPr>
          <w:rFonts w:ascii="仿宋" w:hAnsi="仿宋"/>
        </w:rPr>
      </w:pPr>
      <w:r>
        <w:rPr>
          <w:rFonts w:hint="eastAsia" w:ascii="仿宋" w:hAnsi="仿宋"/>
        </w:rPr>
        <w:t>“十三五”规划主要目标任务已全面完成，为开启新时代郫都“三步走”战略第二步目标，建设高品质和谐宜居生活城市，建成国际门户枢纽城市绿色智慧城区奠定了坚实的基础。</w:t>
      </w:r>
    </w:p>
    <w:p>
      <w:pPr>
        <w:keepNext/>
        <w:keepLines/>
        <w:numPr>
          <w:ilvl w:val="0"/>
          <w:numId w:val="0"/>
        </w:numPr>
        <w:tabs>
          <w:tab w:val="left" w:pos="360"/>
        </w:tabs>
        <w:spacing w:before="0" w:beforeLines="0"/>
        <w:ind w:left="640" w:leftChars="0"/>
        <w:outlineLvl w:val="0"/>
        <w:rPr>
          <w:rFonts w:ascii="Calibri" w:hAnsi="Calibri" w:eastAsia="黑体" w:cs="Times New Roman"/>
          <w:bCs/>
          <w:kern w:val="44"/>
          <w:szCs w:val="44"/>
        </w:rPr>
      </w:pPr>
      <w:bookmarkStart w:id="8" w:name="_Toc91253727"/>
      <w:r>
        <w:rPr>
          <w:rFonts w:hint="eastAsia" w:ascii="Calibri" w:hAnsi="Calibri" w:eastAsia="黑体" w:cs="Times New Roman"/>
          <w:bCs/>
          <w:kern w:val="44"/>
          <w:szCs w:val="44"/>
          <w:lang w:eastAsia="zh-CN"/>
        </w:rPr>
        <w:t>二、</w:t>
      </w:r>
      <w:r>
        <w:rPr>
          <w:rFonts w:hint="eastAsia" w:ascii="Calibri" w:hAnsi="Calibri" w:eastAsia="黑体" w:cs="Times New Roman"/>
          <w:bCs/>
          <w:kern w:val="44"/>
          <w:szCs w:val="44"/>
        </w:rPr>
        <w:t>指导思想</w:t>
      </w:r>
      <w:bookmarkEnd w:id="8"/>
    </w:p>
    <w:p>
      <w:pPr>
        <w:spacing w:before="156"/>
        <w:ind w:firstLine="640"/>
      </w:pPr>
      <w:r>
        <w:rPr>
          <w:rFonts w:hint="eastAsia"/>
        </w:rPr>
        <w:t>全面贯彻党的十九大和十九届二中、三中、四中、五中全会精神，牢记习近平总书记赋予郫都“走在前列、起好示范”的重大使命，认真落实省委、市委重大决策部署，积极融入、主动服务新发展格局，践行建设国内大循环战略腹地和国际国内双循环门户枢纽的新使命，抢抓成渝地区双城经济圈建设重大机遇，以支撑经济高质量发展为主题，紧扣推动知识产权高质量发展的主线，聚焦建设国家城乡融合发展试验区和国家数字经济创新发展试验区建设，</w:t>
      </w:r>
      <w:r>
        <w:rPr>
          <w:rFonts w:hint="eastAsia"/>
          <w:lang w:eastAsia="zh-CN"/>
        </w:rPr>
        <w:t>以</w:t>
      </w:r>
      <w:r>
        <w:rPr>
          <w:rFonts w:hint="eastAsia"/>
          <w:lang w:val="en-US" w:eastAsia="zh-CN"/>
        </w:rPr>
        <w:t>2023年</w:t>
      </w:r>
      <w:r>
        <w:rPr>
          <w:rFonts w:hint="eastAsia"/>
        </w:rPr>
        <w:t>世界科幻大会</w:t>
      </w:r>
      <w:r>
        <w:rPr>
          <w:rFonts w:hint="eastAsia"/>
          <w:lang w:eastAsia="zh-CN"/>
        </w:rPr>
        <w:t>为契机，</w:t>
      </w:r>
      <w:bookmarkStart w:id="43" w:name="_GoBack"/>
      <w:bookmarkEnd w:id="43"/>
      <w:r>
        <w:rPr>
          <w:rFonts w:hint="eastAsia"/>
        </w:rPr>
        <w:t>进一步增强“中优”区域共享发展和创新发展引领功能、“西控”区域协调发展和绿色发展引领功能，以主导产业提能、双创资源转化、城市数字赋能为主攻方向，持续探索知识产权综合管理体制建设，为高质量建设“科创高地、锦绣郫都”，全面开启社会主义现代化郫都建设新征程提供有效支撑。</w:t>
      </w:r>
    </w:p>
    <w:p>
      <w:pPr>
        <w:keepNext/>
        <w:keepLines/>
        <w:numPr>
          <w:ilvl w:val="0"/>
          <w:numId w:val="0"/>
        </w:numPr>
        <w:tabs>
          <w:tab w:val="left" w:pos="360"/>
        </w:tabs>
        <w:spacing w:before="0" w:beforeLines="0"/>
        <w:ind w:left="640" w:leftChars="0"/>
        <w:outlineLvl w:val="0"/>
        <w:rPr>
          <w:rFonts w:ascii="Calibri" w:hAnsi="Calibri" w:eastAsia="黑体" w:cs="Times New Roman"/>
          <w:bCs/>
          <w:kern w:val="44"/>
          <w:szCs w:val="44"/>
        </w:rPr>
      </w:pPr>
      <w:bookmarkStart w:id="9" w:name="_Toc91253728"/>
      <w:r>
        <w:rPr>
          <w:rFonts w:hint="eastAsia" w:ascii="Calibri" w:hAnsi="Calibri" w:eastAsia="黑体" w:cs="Times New Roman"/>
          <w:bCs/>
          <w:kern w:val="44"/>
          <w:szCs w:val="44"/>
          <w:lang w:eastAsia="zh-CN"/>
        </w:rPr>
        <w:t>三、</w:t>
      </w:r>
      <w:r>
        <w:rPr>
          <w:rFonts w:ascii="Calibri" w:hAnsi="Calibri" w:eastAsia="黑体" w:cs="Times New Roman"/>
          <w:bCs/>
          <w:kern w:val="44"/>
          <w:szCs w:val="44"/>
        </w:rPr>
        <w:t>发展目标</w:t>
      </w:r>
      <w:bookmarkEnd w:id="9"/>
    </w:p>
    <w:p>
      <w:pPr>
        <w:spacing w:before="0" w:beforeLines="0" w:line="600" w:lineRule="exact"/>
        <w:ind w:firstLine="640"/>
        <w:outlineLvl w:val="1"/>
        <w:rPr>
          <w:rFonts w:ascii="楷体" w:hAnsi="楷体" w:eastAsia="楷体" w:cs="Times New Roman"/>
          <w:color w:val="000000"/>
          <w:szCs w:val="32"/>
        </w:rPr>
      </w:pPr>
      <w:bookmarkStart w:id="10" w:name="_Toc91253729"/>
      <w:r>
        <w:rPr>
          <w:rFonts w:ascii="楷体" w:hAnsi="楷体" w:eastAsia="楷体" w:cs="Times New Roman"/>
          <w:color w:val="000000"/>
          <w:szCs w:val="32"/>
        </w:rPr>
        <w:t>（一）总体目标</w:t>
      </w:r>
      <w:bookmarkEnd w:id="10"/>
    </w:p>
    <w:p>
      <w:pPr>
        <w:spacing w:before="156"/>
        <w:ind w:firstLine="640"/>
      </w:pPr>
      <w:r>
        <w:rPr>
          <w:rFonts w:hint="eastAsia"/>
        </w:rPr>
        <w:t>紧紧围绕</w:t>
      </w:r>
      <w:bookmarkStart w:id="11" w:name="_Hlk91254492"/>
      <w:r>
        <w:rPr>
          <w:rFonts w:hint="eastAsia"/>
        </w:rPr>
        <w:t>“科创高地、锦绣郫都”目标定位</w:t>
      </w:r>
      <w:bookmarkEnd w:id="11"/>
      <w:r>
        <w:rPr>
          <w:rFonts w:hint="eastAsia"/>
        </w:rPr>
        <w:t>，锚定</w:t>
      </w:r>
      <w:bookmarkStart w:id="12" w:name="_Hlk91254416"/>
      <w:r>
        <w:rPr>
          <w:rFonts w:hint="eastAsia"/>
        </w:rPr>
        <w:t>“一心两廊三片”</w:t>
      </w:r>
      <w:bookmarkEnd w:id="12"/>
      <w:bookmarkStart w:id="13" w:name="_Hlk91254520"/>
      <w:r>
        <w:rPr>
          <w:rFonts w:hint="eastAsia"/>
        </w:rPr>
        <w:t>总体布局</w:t>
      </w:r>
      <w:bookmarkEnd w:id="13"/>
      <w:r>
        <w:rPr>
          <w:rFonts w:hint="eastAsia"/>
        </w:rPr>
        <w:t>，坚定实施“六大战略”，高质量推动转型发展，高水平创造美好生活。知识产权综合管理能力显著增强，建成与郫都区知识产权工作特色相适应、符合国际规则的知识产权制度体系，知识产权支撑建设国内大循环战略腹地和国际国内双循环门户枢纽的作用显现，融入知识产权保护典范城市建设，率先建成知识产权综合管理强区，形成区域示范带动和标杆辐射效应。</w:t>
      </w:r>
    </w:p>
    <w:p>
      <w:pPr>
        <w:spacing w:before="0" w:beforeLines="0" w:line="600" w:lineRule="exact"/>
        <w:ind w:firstLine="640"/>
        <w:outlineLvl w:val="1"/>
        <w:rPr>
          <w:rFonts w:ascii="楷体" w:hAnsi="楷体" w:eastAsia="楷体" w:cs="Times New Roman"/>
          <w:color w:val="000000"/>
          <w:szCs w:val="32"/>
        </w:rPr>
      </w:pPr>
      <w:bookmarkStart w:id="14" w:name="_Toc91253730"/>
      <w:r>
        <w:rPr>
          <w:rFonts w:ascii="楷体" w:hAnsi="楷体" w:eastAsia="楷体" w:cs="Times New Roman"/>
          <w:color w:val="000000"/>
          <w:szCs w:val="32"/>
        </w:rPr>
        <w:t>（二）</w:t>
      </w:r>
      <w:r>
        <w:rPr>
          <w:rFonts w:hint="eastAsia" w:ascii="楷体" w:hAnsi="楷体" w:eastAsia="楷体" w:cs="Times New Roman"/>
          <w:color w:val="000000"/>
          <w:szCs w:val="32"/>
        </w:rPr>
        <w:t>具体</w:t>
      </w:r>
      <w:r>
        <w:rPr>
          <w:rFonts w:ascii="楷体" w:hAnsi="楷体" w:eastAsia="楷体" w:cs="Times New Roman"/>
          <w:color w:val="000000"/>
          <w:szCs w:val="32"/>
        </w:rPr>
        <w:t>目标</w:t>
      </w:r>
      <w:bookmarkEnd w:id="14"/>
    </w:p>
    <w:p>
      <w:pPr>
        <w:spacing w:before="156"/>
        <w:ind w:firstLine="640"/>
        <w:rPr>
          <w:rFonts w:ascii="Times New Roman" w:hAnsi="Times New Roman"/>
        </w:rPr>
      </w:pPr>
      <w:r>
        <w:rPr>
          <w:rFonts w:hint="eastAsia"/>
        </w:rPr>
        <w:t>——知识产权创造质量显著提升。有效知识产权拥有量持续增长，高价值发明专利拥有量稳步提高，知识产权结构显著优化，重点产业知识产权布局合理，知识产权海外布局显著加强。</w:t>
      </w:r>
    </w:p>
    <w:p>
      <w:pPr>
        <w:spacing w:before="156"/>
        <w:ind w:firstLine="640"/>
        <w:rPr>
          <w:rFonts w:ascii="Times New Roman" w:hAnsi="Times New Roman"/>
        </w:rPr>
      </w:pPr>
      <w:r>
        <w:rPr>
          <w:rFonts w:hint="eastAsia"/>
        </w:rPr>
        <w:t>——知识产权运用效益充分显现。知识产权转移转化机制明显优化，支撑产业新旧功能转换效果凸现；知识产权金融建设不断强化，实现知识产权质押贷款金额</w:t>
      </w:r>
      <w:r>
        <w:t>3</w:t>
      </w:r>
      <w:r>
        <w:rPr>
          <w:rFonts w:hint="eastAsia"/>
        </w:rPr>
        <w:t>亿元以上；建立知识产权赋能中心，促进知识产权运用作用逐步显现。</w:t>
      </w:r>
    </w:p>
    <w:p>
      <w:pPr>
        <w:spacing w:before="156"/>
        <w:ind w:firstLine="640"/>
        <w:rPr>
          <w:rFonts w:ascii="Times New Roman" w:hAnsi="Times New Roman"/>
        </w:rPr>
      </w:pPr>
      <w:r>
        <w:rPr>
          <w:rFonts w:hint="eastAsia"/>
        </w:rPr>
        <w:t>——知识产权保护力度持续加大。知识产权纠纷多元解决机制更加健全；知识产权行政执法能力逐步提升，重点市场、重点领域执法不断强化；知识产权司法保护主导作用充分显现；知识产权维权愈加便利；知识产权保护社会满意度明显提升。</w:t>
      </w:r>
    </w:p>
    <w:p>
      <w:pPr>
        <w:spacing w:before="156"/>
        <w:ind w:firstLine="640"/>
        <w:rPr>
          <w:rFonts w:ascii="Times New Roman" w:hAnsi="Times New Roman"/>
        </w:rPr>
      </w:pPr>
      <w:r>
        <w:rPr>
          <w:rFonts w:hint="eastAsia"/>
        </w:rPr>
        <w:t>——知识产权管理体系愈加完善。建立健全适应区域经济高质量发展要求的知识产权综合管理体系，工作模式更加成熟，体制机制更加完善，管理措施更加细化，知识产权综合服务水平显著提升，知识产权管理信息化水平不断提高；知识产权创新主体管理能力和水平显著提升。</w:t>
      </w:r>
    </w:p>
    <w:p>
      <w:pPr>
        <w:spacing w:before="156"/>
        <w:ind w:firstLine="640"/>
      </w:pPr>
      <w:r>
        <w:rPr>
          <w:rFonts w:hint="eastAsia"/>
        </w:rPr>
        <w:t>——知识产权服务能力明显增强。基本建立适应区域经济发展和产业结构的知识产权服务体系，打造一支规模合理、结构优化的知识产权服务人才队伍。</w:t>
      </w:r>
    </w:p>
    <w:p>
      <w:pPr>
        <w:spacing w:before="0" w:beforeLines="0" w:line="600" w:lineRule="exact"/>
        <w:ind w:firstLine="640"/>
        <w:outlineLvl w:val="1"/>
        <w:rPr>
          <w:rFonts w:ascii="楷体" w:hAnsi="楷体" w:eastAsia="楷体" w:cs="Times New Roman"/>
          <w:color w:val="000000"/>
          <w:szCs w:val="32"/>
        </w:rPr>
      </w:pPr>
      <w:bookmarkStart w:id="15" w:name="_Toc91253731"/>
      <w:r>
        <w:rPr>
          <w:rFonts w:ascii="楷体" w:hAnsi="楷体" w:eastAsia="楷体" w:cs="Times New Roman"/>
          <w:color w:val="000000"/>
          <w:szCs w:val="32"/>
        </w:rPr>
        <w:t>（三）主要定量指标</w:t>
      </w:r>
      <w:bookmarkEnd w:id="15"/>
    </w:p>
    <w:p>
      <w:pPr>
        <w:widowControl/>
        <w:spacing w:before="0" w:beforeLines="0" w:line="240" w:lineRule="auto"/>
        <w:ind w:firstLine="0" w:firstLineChars="0"/>
        <w:jc w:val="left"/>
        <w:rPr>
          <w:rFonts w:ascii="楷体" w:hAnsi="楷体" w:eastAsia="楷体" w:cs="Times New Roman"/>
          <w:color w:val="000000"/>
          <w:szCs w:val="32"/>
        </w:rPr>
      </w:pPr>
      <w:r>
        <w:rPr>
          <w:rFonts w:ascii="楷体" w:hAnsi="楷体" w:eastAsia="楷体" w:cs="Times New Roman"/>
          <w:color w:val="000000"/>
          <w:szCs w:val="32"/>
        </w:rPr>
        <w:br w:type="page"/>
      </w:r>
    </w:p>
    <w:tbl>
      <w:tblPr>
        <w:tblStyle w:val="13"/>
        <w:tblW w:w="7933" w:type="dxa"/>
        <w:jc w:val="center"/>
        <w:tblInd w:w="0" w:type="dxa"/>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
      <w:tblGrid>
        <w:gridCol w:w="633"/>
        <w:gridCol w:w="4885"/>
        <w:gridCol w:w="1205"/>
        <w:gridCol w:w="1210"/>
      </w:tblGrid>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序号</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指标名称</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sz w:val="24"/>
                <w:szCs w:val="20"/>
              </w:rPr>
              <w:t>“十三五”末(2020年)</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sz w:val="24"/>
                <w:szCs w:val="20"/>
              </w:rPr>
              <w:t>“十四五”末(2025年)</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ascii="仿宋_GB2312" w:hAnsi="黑体" w:cs="宋体"/>
                <w:kern w:val="0"/>
                <w:sz w:val="24"/>
                <w:szCs w:val="24"/>
              </w:rPr>
              <w:t>1</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kern w:val="0"/>
                <w:sz w:val="24"/>
                <w:szCs w:val="24"/>
              </w:rPr>
              <w:t>每万人口高价值发明专利拥有量（件）</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12</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hint="eastAsia" w:ascii="Times New Roman" w:hAnsi="Times New Roman" w:eastAsia="仿宋_GB2312" w:cs="Times New Roman"/>
                <w:kern w:val="0"/>
                <w:sz w:val="24"/>
                <w:szCs w:val="24"/>
                <w:lang w:eastAsia="zh-CN"/>
              </w:rPr>
            </w:pPr>
            <w:r>
              <w:rPr>
                <w:rFonts w:ascii="Times New Roman" w:hAnsi="Times New Roman" w:cs="Times New Roman"/>
                <w:kern w:val="0"/>
                <w:sz w:val="24"/>
                <w:szCs w:val="24"/>
              </w:rPr>
              <w:t>1</w:t>
            </w:r>
            <w:r>
              <w:rPr>
                <w:rFonts w:hint="eastAsia" w:ascii="Times New Roman" w:hAnsi="Times New Roman" w:cs="Times New Roman"/>
                <w:kern w:val="0"/>
                <w:sz w:val="24"/>
                <w:szCs w:val="24"/>
                <w:lang w:val="en-US" w:eastAsia="zh-CN"/>
              </w:rPr>
              <w:t>4</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2</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kern w:val="0"/>
                <w:sz w:val="24"/>
                <w:szCs w:val="24"/>
              </w:rPr>
              <w:t>海外发明专利授权量（件）</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54</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90</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3</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kern w:val="0"/>
                <w:sz w:val="24"/>
                <w:szCs w:val="24"/>
              </w:rPr>
              <w:t>有效注册商标总量（件）</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16794</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35000</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4</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kern w:val="0"/>
                <w:sz w:val="24"/>
                <w:szCs w:val="24"/>
              </w:rPr>
              <w:t>马德里商标国际注册量（件）</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19</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30</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5</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kern w:val="0"/>
                <w:sz w:val="24"/>
                <w:szCs w:val="24"/>
              </w:rPr>
              <w:t>地理标志拥有量</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6</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6</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kern w:val="0"/>
                <w:sz w:val="24"/>
                <w:szCs w:val="24"/>
              </w:rPr>
              <w:t>著作权登记量（件）</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14524</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30000</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7</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color w:val="343434"/>
                <w:kern w:val="0"/>
                <w:sz w:val="24"/>
                <w:szCs w:val="24"/>
              </w:rPr>
              <w:t>知识产权质押融资金额（亿元）</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0.80</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3</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8</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color w:val="343434"/>
                <w:kern w:val="0"/>
                <w:sz w:val="24"/>
                <w:szCs w:val="24"/>
              </w:rPr>
              <w:t>版权产业行业增加值占G</w:t>
            </w:r>
            <w:r>
              <w:rPr>
                <w:rFonts w:ascii="仿宋_GB2312" w:hAnsi="黑体" w:cs="宋体"/>
                <w:color w:val="343434"/>
                <w:kern w:val="0"/>
                <w:sz w:val="24"/>
                <w:szCs w:val="24"/>
              </w:rPr>
              <w:t>DP</w:t>
            </w:r>
            <w:r>
              <w:rPr>
                <w:rFonts w:hint="eastAsia" w:ascii="仿宋_GB2312" w:hAnsi="黑体" w:cs="宋体"/>
                <w:color w:val="343434"/>
                <w:kern w:val="0"/>
                <w:sz w:val="24"/>
                <w:szCs w:val="24"/>
              </w:rPr>
              <w:t>比重（%）</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9.28</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ascii="仿宋_GB2312" w:hAnsi="黑体" w:cs="宋体"/>
                <w:kern w:val="0"/>
                <w:sz w:val="24"/>
                <w:szCs w:val="24"/>
              </w:rPr>
              <w:t>9</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color w:val="343434"/>
                <w:kern w:val="0"/>
                <w:sz w:val="24"/>
                <w:szCs w:val="24"/>
              </w:rPr>
              <w:t>知识产权保护社会满意度（%）</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85</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90</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10</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kern w:val="0"/>
                <w:sz w:val="24"/>
                <w:szCs w:val="24"/>
              </w:rPr>
              <w:t>知识产权仲裁和调解案件（件）</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468</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573</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kern w:val="0"/>
                <w:sz w:val="24"/>
                <w:szCs w:val="24"/>
              </w:rPr>
            </w:pPr>
            <w:r>
              <w:rPr>
                <w:rFonts w:hint="eastAsia" w:ascii="仿宋_GB2312" w:hAnsi="黑体" w:cs="宋体"/>
                <w:kern w:val="0"/>
                <w:sz w:val="24"/>
                <w:szCs w:val="24"/>
              </w:rPr>
              <w:t>11</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kern w:val="0"/>
                <w:sz w:val="24"/>
                <w:szCs w:val="24"/>
              </w:rPr>
            </w:pPr>
            <w:r>
              <w:rPr>
                <w:rFonts w:hint="eastAsia" w:ascii="仿宋_GB2312" w:hAnsi="黑体" w:cs="宋体"/>
                <w:color w:val="343434"/>
                <w:kern w:val="0"/>
                <w:sz w:val="24"/>
                <w:szCs w:val="24"/>
              </w:rPr>
              <w:t>专利行政执法案件结案率（%）</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95</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97</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color w:val="343434"/>
                <w:kern w:val="0"/>
                <w:sz w:val="24"/>
                <w:szCs w:val="24"/>
              </w:rPr>
            </w:pPr>
            <w:r>
              <w:rPr>
                <w:rFonts w:hint="eastAsia" w:ascii="仿宋_GB2312" w:hAnsi="黑体" w:cs="宋体"/>
                <w:color w:val="343434"/>
                <w:kern w:val="0"/>
                <w:sz w:val="24"/>
                <w:szCs w:val="24"/>
              </w:rPr>
              <w:t>12</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color w:val="343434"/>
                <w:kern w:val="0"/>
                <w:sz w:val="24"/>
                <w:szCs w:val="24"/>
              </w:rPr>
            </w:pPr>
            <w:r>
              <w:rPr>
                <w:rFonts w:hint="eastAsia" w:ascii="仿宋_GB2312" w:hAnsi="黑体" w:cs="宋体"/>
                <w:color w:val="343434"/>
                <w:kern w:val="0"/>
                <w:sz w:val="24"/>
                <w:szCs w:val="24"/>
              </w:rPr>
              <w:t>专利代理师数量（人）</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48</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63</w:t>
            </w:r>
          </w:p>
        </w:tc>
      </w:tr>
      <w:tr>
        <w:tblPrEx>
          <w:tblBorders>
            <w:top w:val="single" w:color="000000" w:sz="6" w:space="0"/>
            <w:left w:val="single" w:color="000000" w:sz="6" w:space="0"/>
            <w:bottom w:val="outset" w:color="auto" w:sz="2" w:space="0"/>
            <w:right w:val="outset" w:color="auto" w:sz="2"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3"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仿宋_GB2312" w:hAnsi="黑体" w:cs="宋体"/>
                <w:color w:val="343434"/>
                <w:kern w:val="0"/>
                <w:sz w:val="24"/>
                <w:szCs w:val="24"/>
              </w:rPr>
            </w:pPr>
            <w:r>
              <w:rPr>
                <w:rFonts w:hint="eastAsia" w:ascii="仿宋_GB2312" w:hAnsi="黑体" w:cs="宋体"/>
                <w:color w:val="343434"/>
                <w:kern w:val="0"/>
                <w:sz w:val="24"/>
                <w:szCs w:val="24"/>
              </w:rPr>
              <w:t>13</w:t>
            </w:r>
          </w:p>
        </w:tc>
        <w:tc>
          <w:tcPr>
            <w:tcW w:w="488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left"/>
              <w:rPr>
                <w:rFonts w:ascii="仿宋_GB2312" w:hAnsi="黑体" w:cs="宋体"/>
                <w:color w:val="343434"/>
                <w:kern w:val="0"/>
                <w:sz w:val="24"/>
                <w:szCs w:val="24"/>
              </w:rPr>
            </w:pPr>
            <w:r>
              <w:rPr>
                <w:rFonts w:hint="eastAsia" w:ascii="仿宋_GB2312" w:hAnsi="黑体" w:cs="宋体"/>
                <w:color w:val="343434"/>
                <w:kern w:val="0"/>
                <w:sz w:val="24"/>
                <w:szCs w:val="24"/>
              </w:rPr>
              <w:t>知识产权托管企业数量（家）</w:t>
            </w:r>
          </w:p>
        </w:tc>
        <w:tc>
          <w:tcPr>
            <w:tcW w:w="1205"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40</w:t>
            </w:r>
          </w:p>
        </w:tc>
        <w:tc>
          <w:tcPr>
            <w:tcW w:w="1210" w:type="dxa"/>
            <w:tcBorders>
              <w:top w:val="outset" w:color="000000" w:sz="2" w:space="0"/>
              <w:left w:val="outset" w:color="000000" w:sz="2" w:space="0"/>
              <w:bottom w:val="single" w:color="000000" w:sz="6" w:space="0"/>
              <w:right w:val="single" w:color="000000" w:sz="6" w:space="0"/>
            </w:tcBorders>
            <w:vAlign w:val="center"/>
          </w:tcPr>
          <w:p>
            <w:pPr>
              <w:widowControl/>
              <w:spacing w:before="0" w:beforeLines="0"/>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126</w:t>
            </w:r>
          </w:p>
        </w:tc>
      </w:tr>
    </w:tbl>
    <w:p>
      <w:pPr>
        <w:keepNext/>
        <w:keepLines/>
        <w:numPr>
          <w:ilvl w:val="0"/>
          <w:numId w:val="0"/>
        </w:numPr>
        <w:tabs>
          <w:tab w:val="left" w:pos="360"/>
        </w:tabs>
        <w:spacing w:before="0" w:beforeLines="0"/>
        <w:ind w:leftChars="200"/>
        <w:outlineLvl w:val="0"/>
        <w:rPr>
          <w:rFonts w:ascii="Calibri" w:hAnsi="Calibri" w:eastAsia="黑体" w:cs="Times New Roman"/>
          <w:bCs/>
          <w:kern w:val="44"/>
          <w:szCs w:val="44"/>
        </w:rPr>
      </w:pPr>
      <w:bookmarkStart w:id="16" w:name="_Toc91253732"/>
      <w:r>
        <w:rPr>
          <w:rFonts w:hint="eastAsia" w:ascii="Calibri" w:hAnsi="Calibri" w:eastAsia="黑体" w:cs="Times New Roman"/>
          <w:bCs/>
          <w:kern w:val="44"/>
          <w:szCs w:val="44"/>
          <w:lang w:eastAsia="zh-CN"/>
        </w:rPr>
        <w:t>四、</w:t>
      </w:r>
      <w:r>
        <w:rPr>
          <w:rFonts w:hint="eastAsia" w:ascii="Calibri" w:hAnsi="Calibri" w:eastAsia="黑体" w:cs="Times New Roman"/>
          <w:bCs/>
          <w:kern w:val="44"/>
          <w:szCs w:val="44"/>
        </w:rPr>
        <w:t>主要任务</w:t>
      </w:r>
      <w:bookmarkEnd w:id="16"/>
    </w:p>
    <w:p>
      <w:pPr>
        <w:spacing w:before="0" w:beforeLines="0" w:line="600" w:lineRule="exact"/>
        <w:ind w:firstLine="640"/>
        <w:outlineLvl w:val="1"/>
        <w:rPr>
          <w:rFonts w:hint="eastAsia" w:eastAsia="仿宋_GB2312" w:asciiTheme="minorHAnsi" w:hAnsiTheme="minorHAnsi" w:cstheme="minorBidi"/>
          <w:b/>
          <w:bCs/>
          <w:kern w:val="2"/>
          <w:sz w:val="32"/>
          <w:szCs w:val="32"/>
          <w:lang w:val="en-US" w:eastAsia="zh-CN" w:bidi="ar-SA"/>
        </w:rPr>
      </w:pPr>
      <w:bookmarkStart w:id="17" w:name="_Toc91253733"/>
      <w:r>
        <w:rPr>
          <w:rFonts w:hint="eastAsia" w:eastAsia="仿宋_GB2312" w:asciiTheme="minorHAnsi" w:hAnsiTheme="minorHAnsi" w:cstheme="minorBidi"/>
          <w:b/>
          <w:bCs/>
          <w:kern w:val="2"/>
          <w:sz w:val="32"/>
          <w:szCs w:val="32"/>
          <w:lang w:val="en-US" w:eastAsia="zh-CN" w:bidi="ar-SA"/>
        </w:rPr>
        <w:t>（一）</w:t>
      </w:r>
      <w:bookmarkStart w:id="18" w:name="_Hlk91254302"/>
      <w:r>
        <w:rPr>
          <w:rFonts w:hint="eastAsia" w:eastAsia="仿宋_GB2312" w:asciiTheme="minorHAnsi" w:hAnsiTheme="minorHAnsi" w:cstheme="minorBidi"/>
          <w:b/>
          <w:bCs/>
          <w:kern w:val="2"/>
          <w:sz w:val="32"/>
          <w:szCs w:val="32"/>
          <w:lang w:val="en-US" w:eastAsia="zh-CN" w:bidi="ar-SA"/>
        </w:rPr>
        <w:t>构建知识产权发展新格局</w:t>
      </w:r>
      <w:bookmarkEnd w:id="17"/>
      <w:bookmarkEnd w:id="18"/>
    </w:p>
    <w:p>
      <w:pPr>
        <w:pStyle w:val="5"/>
        <w:spacing w:before="156"/>
        <w:ind w:firstLine="643"/>
      </w:pPr>
      <w:bookmarkStart w:id="19" w:name="_Toc91253734"/>
      <w:r>
        <w:rPr>
          <w:rFonts w:hint="eastAsia"/>
        </w:rPr>
        <w:t>高标准推进知识产权强区建设</w:t>
      </w:r>
      <w:bookmarkEnd w:id="19"/>
    </w:p>
    <w:p>
      <w:pPr>
        <w:spacing w:before="156"/>
        <w:ind w:firstLine="643"/>
      </w:pPr>
      <w:r>
        <w:rPr>
          <w:rFonts w:hint="eastAsia"/>
        </w:rPr>
        <w:t>完善知识产权强区制度。构建和完善与知识产权强区建设相适应的知识产权引导政策，突出质量导向、促进知识产权有效运用、强化知识产权保护，促进知识产权与投资、贸易、科技、金融、文化等政策的融合，推动知识产权价值实现，最大限度调动全社会参与知识产权工作的积极性。持续深化国家知识产权强县示范县、国家双创示范基地知识产权转移转化平台、国家地理标志产品保护示范区、成都影视城版权运营中心建设。开展产业专利导航，支持产业功能区发展。持续培育知识产权试点示范企业，支持创建国家知识产权试点示范高校。</w:t>
      </w:r>
    </w:p>
    <w:p>
      <w:pPr>
        <w:spacing w:before="156"/>
        <w:ind w:firstLine="643"/>
        <w:rPr>
          <w:rFonts w:ascii="方正小标宋简体" w:eastAsia="方正小标宋简体"/>
          <w:sz w:val="44"/>
          <w:szCs w:val="44"/>
        </w:rPr>
      </w:pPr>
      <w:r>
        <w:rPr>
          <w:rFonts w:hint="eastAsia"/>
        </w:rPr>
        <w:t>融入区域一体化建设。主动顺应“双循环”新发展格局深刻调整，深化成渝地区双城知识产权区域一体化建设，全面提升郫都区在成都都市圈的竞争力和区域辐射力，更好地服务全市全省全国发展大局。加强与周边区域的联动协同，提升互联互通水平，深化知识产权执法体制改革，在更高层次实现“两区一城”及相关地区协同发展，构建大保护工作格局。</w:t>
      </w:r>
      <w:r>
        <w:rPr>
          <w:rFonts w:hint="eastAsia" w:ascii="Calibri" w:hAnsi="Calibri"/>
        </w:rPr>
        <w:t>加强中国（四川）知识产权保护中心郫都分中心建设，强化与中国（四川）知识产权保护中心间的联动，提供区域一体化知识产权高效协同保护。</w:t>
      </w:r>
    </w:p>
    <w:p>
      <w:pPr>
        <w:pStyle w:val="5"/>
        <w:numPr>
          <w:ilvl w:val="2"/>
          <w:numId w:val="0"/>
        </w:numPr>
        <w:spacing w:before="156"/>
        <w:ind w:leftChars="200"/>
      </w:pPr>
      <w:bookmarkStart w:id="20" w:name="_Toc91253735"/>
      <w:r>
        <w:rPr>
          <w:rFonts w:hint="eastAsia"/>
          <w:lang w:val="en-US" w:eastAsia="zh-CN"/>
        </w:rPr>
        <w:t>2、</w:t>
      </w:r>
      <w:r>
        <w:rPr>
          <w:rFonts w:hint="eastAsia"/>
        </w:rPr>
        <w:t>赋能郫都区“科创高地”高质量建设</w:t>
      </w:r>
      <w:bookmarkEnd w:id="20"/>
    </w:p>
    <w:p>
      <w:pPr>
        <w:spacing w:before="156"/>
        <w:ind w:firstLine="643"/>
      </w:pPr>
      <w:r>
        <w:rPr>
          <w:rFonts w:hint="eastAsia"/>
        </w:rPr>
        <w:t>促进高能级先进制造业发展。建设知识产权赋能中心，以产业知识产权全链条保护为核心，搭建知识产权资源导向功能、专利导航助推产业发展功能、产业知识产权资本化运营功能、高价值专利培育功能、领军企业和产业集群培育功能。进一步增强“中优”区域共享发展和创新发展引领功能，围绕新型显示、新型电子元器件、电子功能性材料、氢能装备、食品饮料等先进制造产业，逐步建立以专利导航支撑行政决策的创新决策机制，提高政府创新宏观管理能力和资源配置效率。引导对接人才资源、企业资源、科研资源、信息资源、金融资源等服务资源，实现资源价值最大化配置。支持企业、高校、科研院所等创新主体聚焦产业关键环节和重点技术，培育高质量专利组合。</w:t>
      </w:r>
    </w:p>
    <w:p>
      <w:pPr>
        <w:spacing w:before="156"/>
        <w:ind w:firstLine="643"/>
      </w:pPr>
      <w:r>
        <w:rPr>
          <w:rFonts w:hint="eastAsia"/>
        </w:rPr>
        <w:t>培育新经济发展新动能。围绕国家数字经济创新应用示范区建设，聚焦以“大数据+”、超高清视频为核心的新经济产业体系，开展知识产权动态信息监测和专利导航分析，引导创新主体超前部署关键技术研究，加快构筑数字经济知识产权先发优势，争创国家数字经济创新应用示范区，支撑全省打造国家数字经济创新发展试验区。有针对性地申请或引进知识产权，规避潜在知识产权侵权风险，探索建立订单式知识产权研发体系，支撑重大科学技术攻关等技术创新。支持拥有核心专利技术、创新能力突出的企业发展壮大。</w:t>
      </w:r>
    </w:p>
    <w:p>
      <w:pPr>
        <w:spacing w:before="156"/>
        <w:ind w:firstLine="643"/>
      </w:pPr>
      <w:r>
        <w:rPr>
          <w:rFonts w:hint="eastAsia"/>
        </w:rPr>
        <w:t>支撑高层次现代服务业发展。依托成都影视城和知识产权服务聚集区，大力发展版权经济和品牌经济。打造一批影视文创与现代时尚产业精品版权，加强优秀作品展示推广，充分发挥知识产权在打造中国影视文创高地和成都影视城发展中的作用。聚焦郫都现代服务业发展，加强知识产权服务业发展，打造四川省内具有较高知名度和较强竞争力的商标品牌，助力商贸物流、旅游等服务业品牌发展。</w:t>
      </w:r>
    </w:p>
    <w:p>
      <w:pPr>
        <w:spacing w:before="156"/>
        <w:ind w:firstLine="643"/>
      </w:pPr>
      <w:r>
        <w:rPr>
          <w:rFonts w:hint="eastAsia"/>
          <w:lang w:val="en-US" w:eastAsia="zh-CN"/>
        </w:rPr>
        <w:t xml:space="preserve"> 3、</w:t>
      </w:r>
      <w:r>
        <w:rPr>
          <w:rFonts w:hint="eastAsia"/>
          <w:b/>
          <w:bCs/>
        </w:rPr>
        <w:t>大力实施地理标志运用促进工程。</w:t>
      </w:r>
      <w:r>
        <w:rPr>
          <w:rFonts w:hint="eastAsia"/>
        </w:rPr>
        <w:t>完善地理标志运用促进体系，试点发展“产品-品牌-产业”发展路径，推动郫县豆瓣、唐元韭黄、新民场生菜、德源大蒜、蜀绣等地理标志与互联网、电子商务、文化创意、生态旅游等产业深度融合。引导涉农专利技术向城乡融合发展示范走廊转移转化，助力乡村产业发展。完善郫县豆瓣等特色产业“地理标志+企业商标+版权+专利”的立体知识产权保护结构，融入“一带一路”、供港供澳产品出口，促进“郫都造·走世界”。</w:t>
      </w:r>
    </w:p>
    <w:p>
      <w:pPr>
        <w:spacing w:before="156"/>
        <w:ind w:firstLine="643"/>
      </w:pPr>
      <w:r>
        <w:rPr>
          <w:rFonts w:hint="eastAsia"/>
        </w:rPr>
        <w:t>打造都市农业品牌助力乡村振兴。充分挖掘郫都文化，加强地理标志品牌建设与历史文化传承发展有机结合，赋予地标产品文化内涵和价值“灵魂”，积极推进蜀文化IP的特色文旅体验场景建设，主动融入巴蜀文化旅游走廊建设。进一步强化地理标志品牌运用推广，在保护传承的基础上，创造性转化、创新性发展，不断赋予时代内涵，丰富表现形式。提升特色产业的科技含量，培育一批影响力大、知名度高的知名商标，打造一批特色产业文化精品版权。</w:t>
      </w:r>
    </w:p>
    <w:p>
      <w:pPr>
        <w:pStyle w:val="5"/>
        <w:numPr>
          <w:ilvl w:val="2"/>
          <w:numId w:val="0"/>
        </w:numPr>
        <w:spacing w:before="156"/>
        <w:ind w:leftChars="200"/>
      </w:pPr>
      <w:bookmarkStart w:id="21" w:name="_Toc91253737"/>
      <w:r>
        <w:rPr>
          <w:rFonts w:hint="eastAsia"/>
          <w:lang w:val="en-US" w:eastAsia="zh-CN"/>
        </w:rPr>
        <w:t>4、</w:t>
      </w:r>
      <w:r>
        <w:rPr>
          <w:rFonts w:hint="eastAsia"/>
        </w:rPr>
        <w:t>开创重点区域新局面</w:t>
      </w:r>
      <w:bookmarkEnd w:id="21"/>
    </w:p>
    <w:p>
      <w:pPr>
        <w:spacing w:before="156"/>
        <w:ind w:firstLine="643"/>
      </w:pPr>
      <w:r>
        <w:rPr>
          <w:rFonts w:hint="eastAsia"/>
        </w:rPr>
        <w:t>推动“一心”创新引领布局。围绕科创新城打造“城市未来新中心、转型发展新引擎”的战略目标，聚焦菁蓉镇创新创业活力提升，利用专利大数据对招才引智的导航功能，以更广阔的视角挖掘适配“创客郫都”的人才项目。发挥拓米（成都）应用技术研究院、国家信息中心大数据创新创业（成都）基地等重大项目的科技创新引领作用，推动“双创基地”向“科创高地”跃升。聚焦成都国盾融合创新中心规划布局的航空航天、新材料、高端装备制造、电子信息技术等科技硬核问题，密切跟踪国内外知识产权发展前沿态势，着力促进知识产权与产业融合发展，助力打造一批规模效应突出、产业特色鲜明、科技水平领先、骨干企业聚集的创新型产业集群。</w:t>
      </w:r>
    </w:p>
    <w:p>
      <w:pPr>
        <w:spacing w:before="156"/>
        <w:ind w:firstLine="643"/>
      </w:pPr>
      <w:r>
        <w:rPr>
          <w:rFonts w:hint="eastAsia"/>
        </w:rPr>
        <w:t>提升“两廊”创新发展水平。秉承清水河科创走廊“科创引领、智造赋能、校地共兴、产城融合”的发展理念，依托华为智算中心、四威科技产业园等创新载体和项目，着眼基础性、战略性、关键性科学技术，促进知识产权创造在清水河科创走廊集聚发展。打造电子科大、西南交大等环高校知识产权转移转化示范区，建设高校专利孵化器，示范带动一批优质专利加快转化。深化完善校地企合作机制，打通科技与产业深度融合的通道，助力打造引领西部电子信息产业发展的科技创新“黄金水岸”。探索锦江绿色发展走廊</w:t>
      </w:r>
      <w:r>
        <w:t>生态价值转化新路径，</w:t>
      </w:r>
      <w:r>
        <w:rPr>
          <w:rFonts w:hint="eastAsia"/>
        </w:rPr>
        <w:t>开发相关文化艺术作品，设计具有特色的区域品牌形象，</w:t>
      </w:r>
      <w:r>
        <w:t>形成城乡融合发展新示范</w:t>
      </w:r>
      <w:r>
        <w:rPr>
          <w:rFonts w:hint="eastAsia"/>
        </w:rPr>
        <w:t>。</w:t>
      </w:r>
    </w:p>
    <w:p>
      <w:pPr>
        <w:spacing w:before="156"/>
        <w:ind w:firstLine="643"/>
      </w:pPr>
      <w:r>
        <w:rPr>
          <w:rFonts w:hint="eastAsia"/>
        </w:rPr>
        <w:t>服务“三片”高质量发展。以“绿色低碳、健康休闲、生态宜居、城乡联动”为建设目标，充分发挥乡村振兴示范片、文创活力示范片、品质生活示范片的区位优势、产业基础和资源禀赋，探索地理标志、专利、商标、版权等多类型知识产权协同运用支撑产业创新发展机制。加强对鹃城、丹丹等重点企业的商标运用、微生物领域关键技术提升、品牌建设等工作的联系指导。充分利用专利、商标、版权、地理标志等不同类别知识产权的各自特点和优势，联动发挥综合协同效应，推动产业高质量发展。</w:t>
      </w:r>
    </w:p>
    <w:p>
      <w:pPr>
        <w:pStyle w:val="4"/>
        <w:spacing w:before="156"/>
        <w:ind w:firstLine="640"/>
      </w:pPr>
      <w:bookmarkStart w:id="22" w:name="_Toc91253738"/>
      <w:r>
        <w:rPr>
          <w:rFonts w:hint="eastAsia" w:eastAsia="仿宋_GB2312" w:asciiTheme="minorHAnsi" w:hAnsiTheme="minorHAnsi" w:cstheme="minorBidi"/>
          <w:b/>
          <w:bCs/>
          <w:kern w:val="2"/>
          <w:sz w:val="32"/>
          <w:szCs w:val="32"/>
          <w:lang w:val="en-US" w:eastAsia="zh-CN" w:bidi="ar-SA"/>
        </w:rPr>
        <w:t>筑建知识产权保护新高地</w:t>
      </w:r>
      <w:bookmarkEnd w:id="22"/>
    </w:p>
    <w:p>
      <w:pPr>
        <w:pStyle w:val="5"/>
        <w:numPr>
          <w:ilvl w:val="2"/>
          <w:numId w:val="0"/>
        </w:numPr>
        <w:spacing w:before="156"/>
        <w:ind w:leftChars="200"/>
      </w:pPr>
      <w:bookmarkStart w:id="23" w:name="_Toc91253739"/>
      <w:r>
        <w:rPr>
          <w:rFonts w:hint="eastAsia"/>
          <w:lang w:val="en-US" w:eastAsia="zh-CN"/>
        </w:rPr>
        <w:t>1、</w:t>
      </w:r>
      <w:r>
        <w:rPr>
          <w:rFonts w:hint="eastAsia"/>
        </w:rPr>
        <w:t>强化知识产权行政保护</w:t>
      </w:r>
      <w:bookmarkEnd w:id="23"/>
    </w:p>
    <w:p>
      <w:pPr>
        <w:spacing w:before="156"/>
        <w:ind w:firstLine="643"/>
      </w:pPr>
      <w:r>
        <w:rPr>
          <w:rFonts w:hint="eastAsia"/>
        </w:rPr>
        <w:t>加大知识产权行政执法力度。优化营商环境，持续开展“铁拳”“蓝天”“剑网”等专项执法行动，进一步加大侵犯知识产权行为的查处力度。聚焦商场、超市、农贸市场等重点区域（场所），建立知识产权违法案件高发多发重点关注市场名录。以地理标志、驰名商标等为重点加强整治，强化关键领域、重点环节、重点群体行政执法专项行动。严肃查处电子商务领域、重点商品交易市场和外商投资领域侵权假冒行为。对群众反映强烈、社会舆论关注度高、侵权假冒多发的商品领域集中整治。</w:t>
      </w:r>
    </w:p>
    <w:p>
      <w:pPr>
        <w:spacing w:before="156"/>
        <w:ind w:firstLine="643"/>
      </w:pPr>
      <w:r>
        <w:rPr>
          <w:rFonts w:hint="eastAsia"/>
        </w:rPr>
        <w:t>提升知识产权行政保护能力。加强行政执法队伍建设，提高执法队伍提高侵权假冒识别侵权判定专业能力，提升行政执法人员专业化、职业化水平。探索建立行政保护技术调查官制度，为查明案件技术事实提供咨询、出具技术调查意见和其他必要技术协助。健全知识产权纠纷非诉讼调解协议司法确认制度。</w:t>
      </w:r>
    </w:p>
    <w:p>
      <w:pPr>
        <w:spacing w:before="156"/>
        <w:ind w:firstLine="643"/>
      </w:pPr>
      <w:r>
        <w:rPr>
          <w:rFonts w:hint="eastAsia"/>
        </w:rPr>
        <w:t>加强重点领域知识产权保护。加强“1</w:t>
      </w:r>
      <w:r>
        <w:t>55</w:t>
      </w:r>
      <w:r>
        <w:rPr>
          <w:rFonts w:hint="eastAsia"/>
        </w:rPr>
        <w:t>+</w:t>
      </w:r>
      <w:r>
        <w:t>6</w:t>
      </w:r>
      <w:r>
        <w:rPr>
          <w:rFonts w:hint="eastAsia"/>
        </w:rPr>
        <w:t>”现代产业体系知识产权保护。加强“郫县豆瓣”追溯体系建设，加强侵权风险防御和维权行政指导。从重从快从严查处侵犯郫县豆瓣、驰名商标、高价值专利等知识产权的违法犯罪行为。加强大型国际体育赛事的知识产权保护，开展特殊标志保护专项执法行动，做好专利权、商标权、著作权、地理标志产品保护其他工作。加强涉外商务、跨境电商等领域知识产权保护和应对，关注国外知识产权重大案件和法律发展动态。充分利用中欧地理标志协定互认互保机遇，指导郫县豆瓣企业在海外市场使用欧盟地理标志官方标志。</w:t>
      </w:r>
    </w:p>
    <w:p>
      <w:pPr>
        <w:pStyle w:val="5"/>
        <w:numPr>
          <w:ilvl w:val="2"/>
          <w:numId w:val="0"/>
        </w:numPr>
        <w:spacing w:before="156"/>
        <w:ind w:leftChars="200"/>
      </w:pPr>
      <w:bookmarkStart w:id="24" w:name="_Toc91253740"/>
      <w:r>
        <w:rPr>
          <w:rFonts w:hint="eastAsia"/>
          <w:lang w:val="en-US" w:eastAsia="zh-CN"/>
        </w:rPr>
        <w:t>2、</w:t>
      </w:r>
      <w:r>
        <w:rPr>
          <w:rFonts w:hint="eastAsia"/>
        </w:rPr>
        <w:t>加强知识产权司法保护</w:t>
      </w:r>
      <w:bookmarkEnd w:id="24"/>
    </w:p>
    <w:p>
      <w:pPr>
        <w:spacing w:before="156"/>
        <w:ind w:firstLine="643"/>
      </w:pPr>
      <w:r>
        <w:rPr>
          <w:rFonts w:hint="eastAsia"/>
        </w:rPr>
        <w:t>完善知识产权司法保护机制。深入推进知识产权民事、刑事、行政案件“三审合一”审判机制改革，促进法律适用和审判标准统一。加大刑事打击力度，全面履行检察监督职能，完善知识产权审判体制机制，依法严厉打击侵权假冒违法犯罪行为。建立健全与审判机制相协调的行政执法证据采信制度。建立健全知识产权纠纷调解司法确认机制。提升技术类案件事实查明的准确性，在知识产权审判中全面构建技术调查官、专家陪审、专家辅助人、专家证人“四位一体”的技术事实查明制度。</w:t>
      </w:r>
    </w:p>
    <w:p>
      <w:pPr>
        <w:spacing w:before="156"/>
        <w:ind w:firstLine="643"/>
      </w:pPr>
      <w:r>
        <w:rPr>
          <w:rFonts w:hint="eastAsia"/>
        </w:rPr>
        <w:t>提升知识产权司法保护能力。积极落实落细知识产权惩罚性赔偿制度，依法加大对源头侵权、重复侵权、恶意侵权和规模侵权等严重侵犯知识产权行为的赔偿力度。提升智慧庭审水平，重点支持运用区块链、大数据、物联网、人工智能等数字技术实现新型智慧化治理。进一步推广应用区块链电子证据平台、在线诉讼平台、类案速裁平台建设。进一步发挥电子证据平台、智能合约平台、生道执行系统、电子封条在知识产权案件中的作用。</w:t>
      </w:r>
    </w:p>
    <w:p>
      <w:pPr>
        <w:pStyle w:val="5"/>
        <w:numPr>
          <w:ilvl w:val="2"/>
          <w:numId w:val="0"/>
        </w:numPr>
        <w:spacing w:before="156"/>
        <w:ind w:leftChars="200"/>
      </w:pPr>
      <w:bookmarkStart w:id="25" w:name="_Toc91253741"/>
      <w:r>
        <w:rPr>
          <w:rFonts w:hint="eastAsia"/>
          <w:lang w:val="en-US" w:eastAsia="zh-CN"/>
        </w:rPr>
        <w:t>3、</w:t>
      </w:r>
      <w:r>
        <w:rPr>
          <w:rFonts w:hint="eastAsia"/>
        </w:rPr>
        <w:t>完善知识产权协同保护</w:t>
      </w:r>
      <w:bookmarkEnd w:id="25"/>
    </w:p>
    <w:p>
      <w:pPr>
        <w:spacing w:before="156"/>
        <w:ind w:firstLine="643"/>
      </w:pPr>
      <w:r>
        <w:rPr>
          <w:rFonts w:hint="eastAsia"/>
        </w:rPr>
        <w:t>健全知识产权纠纷多元化解机制。建立诉调对接、仲裁调解对接、行政执法与调解对接及多部门会商协作机制，就近及时化解知识产权纠纷，降低纠纷解决成本。加强知识产权非诉机制建设，充分发挥知识产权维权工作站（点）和知识产权人民调解委员会作用，实现1</w:t>
      </w:r>
      <w:r>
        <w:t>0</w:t>
      </w:r>
      <w:r>
        <w:rPr>
          <w:rFonts w:hint="eastAsia"/>
        </w:rPr>
        <w:t>%以上的案件通过非诉解纷机制化解。推广知识产权“双向移送”制度，实现行政执法与刑事司法有效衔接，形成执法合力。</w:t>
      </w:r>
    </w:p>
    <w:p>
      <w:pPr>
        <w:spacing w:before="156"/>
        <w:ind w:firstLine="643"/>
      </w:pPr>
      <w:r>
        <w:rPr>
          <w:rFonts w:hint="eastAsia"/>
        </w:rPr>
        <w:t>建立健全知识产权社会共治模式。加强郫都区知识产权协会建设，支持组建1-2个产业知识产权联盟。鼓励行业协会、商会联盟加强知识产权自律管理和信息沟通。建设</w:t>
      </w:r>
      <w:r>
        <w:rPr>
          <w:rFonts w:hint="eastAsia"/>
          <w:lang w:val="en-US" w:eastAsia="zh-CN"/>
        </w:rPr>
        <w:t>2</w:t>
      </w:r>
      <w:r>
        <w:rPr>
          <w:rFonts w:hint="eastAsia"/>
        </w:rPr>
        <w:t>0家知识产权维权援助工作站，10家维权工作点。探索建立知识产权保护志愿者制度、专业型人民陪审员制度、审判技术专家制度和技术调查官制度，调动社会力量积极参与知识产权保护治理。</w:t>
      </w:r>
    </w:p>
    <w:p>
      <w:pPr>
        <w:spacing w:before="156"/>
        <w:ind w:firstLine="643"/>
      </w:pPr>
      <w:r>
        <w:rPr>
          <w:rFonts w:hint="eastAsia"/>
        </w:rPr>
        <w:t>完善知识产权信用体系。建立完善市场主体诚信档案“黑名单”制度，建立专利、商标、地理标志等知识产权领域的重复侵权、故意侵权企业名录社会公布制度，健全失信联合惩戒机制。加强信用监管与“双随机、一公开”监管和行政执法有机结合，全面实施差异化分级分类监管。</w:t>
      </w:r>
    </w:p>
    <w:p>
      <w:pPr>
        <w:pStyle w:val="4"/>
        <w:spacing w:before="156"/>
        <w:ind w:firstLine="640"/>
        <w:rPr>
          <w:rFonts w:hint="eastAsia" w:eastAsia="仿宋_GB2312" w:asciiTheme="minorHAnsi" w:hAnsiTheme="minorHAnsi" w:cstheme="minorBidi"/>
          <w:b/>
          <w:bCs/>
          <w:kern w:val="2"/>
          <w:sz w:val="32"/>
          <w:szCs w:val="32"/>
          <w:lang w:val="en-US" w:eastAsia="zh-CN" w:bidi="ar-SA"/>
        </w:rPr>
      </w:pPr>
      <w:bookmarkStart w:id="26" w:name="_Toc91253742"/>
      <w:r>
        <w:rPr>
          <w:rFonts w:hint="eastAsia" w:eastAsia="仿宋_GB2312" w:asciiTheme="minorHAnsi" w:hAnsiTheme="minorHAnsi" w:cstheme="minorBidi"/>
          <w:b/>
          <w:bCs/>
          <w:kern w:val="2"/>
          <w:sz w:val="32"/>
          <w:szCs w:val="32"/>
          <w:lang w:val="en-US" w:eastAsia="zh-CN" w:bidi="ar-SA"/>
        </w:rPr>
        <w:t>高质量推进知识产权创造</w:t>
      </w:r>
      <w:bookmarkEnd w:id="26"/>
    </w:p>
    <w:p>
      <w:pPr>
        <w:pStyle w:val="5"/>
        <w:numPr>
          <w:ilvl w:val="2"/>
          <w:numId w:val="0"/>
        </w:numPr>
        <w:spacing w:before="156"/>
        <w:ind w:leftChars="200"/>
      </w:pPr>
      <w:bookmarkStart w:id="27" w:name="_Toc91253743"/>
      <w:r>
        <w:rPr>
          <w:rFonts w:hint="eastAsia"/>
          <w:lang w:val="en-US" w:eastAsia="zh-CN"/>
        </w:rPr>
        <w:t>1、</w:t>
      </w:r>
      <w:r>
        <w:rPr>
          <w:rFonts w:hint="eastAsia"/>
        </w:rPr>
        <w:t>高质量知识产权培育和布局</w:t>
      </w:r>
      <w:bookmarkEnd w:id="27"/>
    </w:p>
    <w:p>
      <w:pPr>
        <w:spacing w:before="156"/>
        <w:ind w:firstLine="643"/>
      </w:pPr>
      <w:r>
        <w:rPr>
          <w:rFonts w:hint="eastAsia"/>
        </w:rPr>
        <w:t>推进实施高价值专利培育工程。支持以产业功能区为主阵地，加强5大先进制造业、6大新经济形态的专利创造，推动技术密集型产业向专利密集型产业转变。建设高价值专利培育中心，推动重点企业实施高价值专利培育工程，通过自主研发、合作开发、并购、交叉许可等多种途径，形成一批对产业发展具有支持保障作用的重点专利池。开展规上企业、高新企业知识产权（发明、商标）清零行动。支持产业联盟、高校院所、企业、知识产权服务机构等主体，围绕产业链核心技术和关键环节构建高价值专利池或专利组合。支持电子信息功能区集成电路企业申请注册集成电路布图设计专有权。</w:t>
      </w:r>
    </w:p>
    <w:p>
      <w:pPr>
        <w:spacing w:before="156"/>
        <w:ind w:firstLine="643"/>
      </w:pPr>
      <w:r>
        <w:rPr>
          <w:rFonts w:hint="eastAsia"/>
        </w:rPr>
        <w:t>深入实施商标品牌工程。以“郫都造</w:t>
      </w:r>
      <w:r>
        <w:rPr>
          <w:rFonts w:hint="eastAsia" w:ascii="幼圆" w:eastAsia="幼圆"/>
        </w:rPr>
        <w:t>﹒</w:t>
      </w:r>
      <w:r>
        <w:rPr>
          <w:rFonts w:hint="eastAsia"/>
        </w:rPr>
        <w:t>走世界”为目标，培育一批代表郫都城市形象、在国内外市场有较高知名度和较强竞争力的商标品牌，形成以企业为主体、以政府为引导的品牌发展战略。打造“创客郫都”“安逸郫都”城市品牌，与企业名优品牌互动传播，构建双品牌体系，为优质企业发展赋能，实现区域品牌和企业品牌发展互促、政企共赢。实施“一企一标”“一社一标”工程，提升市场主体自主商标拥有率。引导市场主体丰富商标内涵、增加商标附加值、提高商标知名度。支持出口企业通过马德里商标国际注册等途径，开展商标品牌国际布局，提升品牌国际影响力。</w:t>
      </w:r>
    </w:p>
    <w:p>
      <w:pPr>
        <w:spacing w:before="156"/>
        <w:ind w:firstLine="643"/>
      </w:pPr>
      <w:r>
        <w:rPr>
          <w:rFonts w:hint="eastAsia"/>
        </w:rPr>
        <w:t>培育地理标志助力乡村振兴。进一步增强“西控”区域协调发展和绿色发展引领功能，加强唐昌布鞋、先锋萝卜干、三道堰大葱、古城竹编鸟笼、友爱川派盆景等特色产品的培育力度。提升地理标志产品附加值和产业综合竞争力，推动形成具有郫都特色的地理标志产业集群，加快提升生态价值创造性转化能力。充分挖掘郫都文化，赋予地标产品文化内涵和价值“灵魂”，推动地理标志与特色产业发展、生态文明建设、历史文化传承以及乡村振兴有机融合，提升地理标志品牌影响力和产品附加值。</w:t>
      </w:r>
    </w:p>
    <w:p>
      <w:pPr>
        <w:spacing w:before="156"/>
        <w:ind w:firstLine="643"/>
      </w:pPr>
      <w:r>
        <w:rPr>
          <w:rFonts w:hint="eastAsia"/>
        </w:rPr>
        <w:t>打造高价值版权作品。依托成都影视城建设，推进数字媒体标准体系和版权区块链存证保护平台建设。围绕影视文创、动漫电竞、时尚艺术等领域，实施核心版权培育计划，形成一批创意新颖、特色鲜明、带动力强的核心版权精品。支持影视、动漫及其衍生产品的开发和版权交易服务，推动影视文创产业繁荣发展。</w:t>
      </w:r>
    </w:p>
    <w:p>
      <w:pPr>
        <w:pStyle w:val="5"/>
        <w:numPr>
          <w:ilvl w:val="2"/>
          <w:numId w:val="0"/>
        </w:numPr>
        <w:spacing w:before="156"/>
        <w:ind w:leftChars="200"/>
      </w:pPr>
      <w:bookmarkStart w:id="28" w:name="_Toc91253744"/>
      <w:r>
        <w:rPr>
          <w:rFonts w:hint="eastAsia"/>
          <w:lang w:val="en-US" w:eastAsia="zh-CN"/>
        </w:rPr>
        <w:t>2、</w:t>
      </w:r>
      <w:r>
        <w:rPr>
          <w:rFonts w:hint="eastAsia"/>
        </w:rPr>
        <w:t>激活各类创新主体活力</w:t>
      </w:r>
      <w:bookmarkEnd w:id="28"/>
    </w:p>
    <w:p>
      <w:pPr>
        <w:spacing w:before="156"/>
        <w:ind w:firstLine="643"/>
      </w:pPr>
      <w:r>
        <w:rPr>
          <w:rFonts w:hint="eastAsia"/>
        </w:rPr>
        <w:t>激发企业知识产权高质量创造活力。推动创新要素向企业集聚，进一步完善以企业为主体、市场为导向的高质量创造机制。强化企业知识产权主体地位，支持企业发挥专利、商标、版权等多种类型知识产权组合效应，形成组合策略。引导企业探索构建高价值知识产权创造新模式。重点支持龙头企业开展专利导航，布局、挖掘关键技术领域高价值专利。支持企业制定符合自身发展特点的商标品牌战略，培育具有全球竞争优势的自主品牌。指导企业建立健全商业秘密保护制度，增强商业秘密保护能力。强化企业创新主体地位，引导企业普遍建立知识产权管理制度，加快推进高新技术企业、科技型中小企业、规模以上工业企业、国有企业高质量贯彻实施知识产权管理规范，壮大国家、省、市三级知识产权优势示范企业队伍，培育一批具有国际竞争优势的知识产权领军企业。</w:t>
      </w:r>
    </w:p>
    <w:p>
      <w:pPr>
        <w:spacing w:before="156"/>
        <w:ind w:firstLine="643"/>
      </w:pPr>
      <w:r>
        <w:rPr>
          <w:rFonts w:hint="eastAsia"/>
        </w:rPr>
        <w:t>强化高校、科研机构高质量创造动能。鼓励电子科技大学、西南交通大学、西华大学等驻郫高校、科研机构，面向“155+6”现代产业发展需求，在优势学科领域获取具有战略储备价值的知识产权。深入推进驻郫高校、科研机构知识产权管理规范体系建设。推进产学研用深度融合，积极向高校溯源科技成果，建立以转化运用为导向的科研评价体系。支持开展赋予科研人员职务科技成果所有权或长期使用权改革，深入推广科技成果转化相关方利益捆绑机制，探索实施订单式研发和成果转化机制。支持驻郫高校建设“国家知识产权试点示范高校”。</w:t>
      </w:r>
    </w:p>
    <w:p>
      <w:pPr>
        <w:pStyle w:val="4"/>
        <w:spacing w:before="156"/>
        <w:ind w:firstLine="640"/>
        <w:rPr>
          <w:rFonts w:hint="eastAsia" w:eastAsia="仿宋_GB2312" w:asciiTheme="minorHAnsi" w:hAnsiTheme="minorHAnsi" w:cstheme="minorBidi"/>
          <w:b/>
          <w:bCs/>
          <w:kern w:val="2"/>
          <w:sz w:val="32"/>
          <w:szCs w:val="32"/>
          <w:lang w:val="en-US" w:eastAsia="zh-CN" w:bidi="ar-SA"/>
        </w:rPr>
      </w:pPr>
      <w:bookmarkStart w:id="29" w:name="_Toc91253745"/>
      <w:r>
        <w:rPr>
          <w:rFonts w:hint="eastAsia" w:eastAsia="仿宋_GB2312" w:asciiTheme="minorHAnsi" w:hAnsiTheme="minorHAnsi" w:cstheme="minorBidi"/>
          <w:b/>
          <w:bCs/>
          <w:kern w:val="2"/>
          <w:sz w:val="32"/>
          <w:szCs w:val="32"/>
          <w:lang w:val="en-US" w:eastAsia="zh-CN" w:bidi="ar-SA"/>
        </w:rPr>
        <w:t>赋能产业推进转化运用</w:t>
      </w:r>
      <w:bookmarkEnd w:id="29"/>
    </w:p>
    <w:p>
      <w:pPr>
        <w:pStyle w:val="5"/>
        <w:numPr>
          <w:ilvl w:val="2"/>
          <w:numId w:val="0"/>
        </w:numPr>
        <w:spacing w:before="156"/>
        <w:ind w:left="643" w:leftChars="0"/>
      </w:pPr>
      <w:bookmarkStart w:id="30" w:name="_Toc91253746"/>
      <w:r>
        <w:rPr>
          <w:rFonts w:hint="eastAsia"/>
          <w:lang w:val="en-US" w:eastAsia="zh-CN"/>
        </w:rPr>
        <w:t>1、</w:t>
      </w:r>
      <w:r>
        <w:rPr>
          <w:rFonts w:hint="eastAsia"/>
        </w:rPr>
        <w:t>促进知识产权成果交易转化</w:t>
      </w:r>
      <w:bookmarkEnd w:id="30"/>
    </w:p>
    <w:p>
      <w:pPr>
        <w:spacing w:before="156"/>
        <w:ind w:firstLine="643"/>
        <w:rPr>
          <w:rFonts w:ascii="仿宋_GB2312" w:hAnsi="Times New Roman" w:cs="Times New Roman"/>
          <w:szCs w:val="32"/>
        </w:rPr>
      </w:pPr>
      <w:r>
        <w:rPr>
          <w:rFonts w:hint="eastAsia" w:ascii="仿宋_GB2312" w:hAnsi="Times New Roman" w:cs="Times New Roman"/>
          <w:szCs w:val="32"/>
        </w:rPr>
        <w:t>深化转移转化机制建设。贯彻落实国家、省、市促进知识产权转化运用的政策，完善知识产权转化运用政策体系。发挥国家双创示范基地知识产权转移转化平台、</w:t>
      </w:r>
      <w:r>
        <w:rPr>
          <w:rFonts w:hint="eastAsia"/>
        </w:rPr>
        <w:t>知识产权运营公共服务平台、成都知识产权交易中心郫都分中心作用，打通源头创新到产业化的知识产权运营全链条，发挥连接技术市场与资本市场的区域性综合服务平台的作用，建立“定向研发、定向转化、定向服务”的订单机制</w:t>
      </w:r>
      <w:r>
        <w:rPr>
          <w:rFonts w:hint="eastAsia" w:ascii="仿宋_GB2312" w:hAnsi="Times New Roman" w:cs="Times New Roman"/>
          <w:szCs w:val="32"/>
        </w:rPr>
        <w:t>。发挥知识产权运营机构的媒介作用，推进知识产权价值评估，支持开展在线技术交易。持续发挥高价值专利大赛作用，建设常态化知识产权转化路演平台。</w:t>
      </w:r>
    </w:p>
    <w:p>
      <w:pPr>
        <w:spacing w:before="156"/>
        <w:ind w:firstLine="643"/>
      </w:pPr>
      <w:r>
        <w:rPr>
          <w:rFonts w:hint="eastAsia"/>
        </w:rPr>
        <w:t>打通知识产权成果转化通道。着重依托菁蓉镇发展基础以及电子科技大学、西南交通大学、西华大学等院校、人才资源支撑成都环高校知识经济圈建设和科技成果转移转化。支持行业龙头企业与本地高校、科研机构共建新型研发机构，鼓励国内外知名大学到郫建设高校技术转移中心、科技成果转化中心，加速科技成果向现实生产力转化。建设科教资源共享、实验室共享、产业技术创新联盟等技术共享平台，构建“苗圃—孵化器—加速器—产业园”全生命周期孵化体系。推动创新主体、市场主体贴近生产实际和产业需求，强化以转化实施为目标的知识产权运用。推动高校加快技术经纪人队伍建设，引导高校院所增强专利技术供给的针对性，有效满足小微企业创新发展需求。鼓励高校将专利技术转化成效纳入创新绩效评价和人才评价的指标体系。</w:t>
      </w:r>
    </w:p>
    <w:p>
      <w:pPr>
        <w:pStyle w:val="5"/>
        <w:numPr>
          <w:ilvl w:val="2"/>
          <w:numId w:val="0"/>
        </w:numPr>
        <w:spacing w:before="156"/>
        <w:ind w:leftChars="200"/>
      </w:pPr>
      <w:bookmarkStart w:id="31" w:name="_Toc91253747"/>
      <w:r>
        <w:rPr>
          <w:rFonts w:hint="eastAsia"/>
          <w:lang w:val="en-US" w:eastAsia="zh-CN"/>
        </w:rPr>
        <w:t>2、</w:t>
      </w:r>
      <w:r>
        <w:rPr>
          <w:rFonts w:hint="eastAsia"/>
        </w:rPr>
        <w:t>推进知识产权金融创新</w:t>
      </w:r>
      <w:bookmarkEnd w:id="31"/>
    </w:p>
    <w:p>
      <w:pPr>
        <w:spacing w:before="156"/>
        <w:ind w:firstLine="643"/>
      </w:pPr>
      <w:r>
        <w:rPr>
          <w:rFonts w:hint="eastAsia"/>
        </w:rPr>
        <w:t>建设知识产权金融试验区。充分发挥成都知识产权交易中心金融服务功能，联合金融机构、知识产权运营机构，积极稳妥探索知识产权质押融资新模式。加强知识产权运营需求调查分析，构建包括企业需求、知识产权资产、各类专业服务机构等要素的基础数据库。丰富知识产权投融资产品，支持企业加强知识产权运用、盘活知识产权存量资产，促进初创企业、小微企业的知识产权价值实现。设计科学合理的知识产权证券化产品，按程序推进发行，严格管控知识产权证券化风险。探索利用区块链技术打通知识产权与金融的通道，创建可信交易环境，便利企业获得融资，辅助金融机构降低风险。</w:t>
      </w:r>
    </w:p>
    <w:p>
      <w:pPr>
        <w:spacing w:before="156"/>
        <w:ind w:firstLine="643"/>
      </w:pPr>
      <w:r>
        <w:rPr>
          <w:rFonts w:hint="eastAsia"/>
        </w:rPr>
        <w:t>完善知识产权质押融资服务体系。支持和鼓励银行、担保、保险等机构开展知识产权质押融资业务，探索知识产权“投贷联动”“股债结合”等新模式。探索扩大知识产权质押物范围，支持商业银行开展专利、商标、地理标志、集成电路布图设计、著作权等知识产权单独或打包组合的融资业务。加大科技型中小微企业的融资支持力度，积极促进中小微企业知识产权质押“首贷”。</w:t>
      </w:r>
    </w:p>
    <w:p>
      <w:pPr>
        <w:spacing w:before="156"/>
        <w:ind w:firstLine="643"/>
      </w:pPr>
      <w:r>
        <w:rPr>
          <w:rFonts w:hint="eastAsia"/>
        </w:rPr>
        <w:t>鼓励保险机构开展知识产权保险业务。开发知识产权侵权责任险、被侵权损失险、保证保险等产品，重点关注企业开展对外贸易中面临的知识产权风险，减少企业海外知识产权维权成本。在总结以专利为中心的知识产权保险产品研发、运营成功经验的基础上，鼓励保险机构开发商标、版权、地理标志等保险产品。实施中小企业商标保险援助计划，完善“知识产权保险+服务+维权”模式。试点开展知识产权证券化业务，探索打造多种知识产权证券化产品。</w:t>
      </w:r>
    </w:p>
    <w:p>
      <w:pPr>
        <w:pStyle w:val="4"/>
        <w:spacing w:before="156"/>
        <w:ind w:firstLine="640"/>
        <w:rPr>
          <w:rFonts w:hint="eastAsia" w:eastAsia="仿宋_GB2312" w:asciiTheme="minorHAnsi" w:hAnsiTheme="minorHAnsi" w:cstheme="minorBidi"/>
          <w:b/>
          <w:bCs/>
          <w:kern w:val="2"/>
          <w:sz w:val="32"/>
          <w:szCs w:val="32"/>
          <w:lang w:val="en-US" w:eastAsia="zh-CN" w:bidi="ar-SA"/>
        </w:rPr>
      </w:pPr>
      <w:bookmarkStart w:id="32" w:name="_Toc91253748"/>
      <w:r>
        <w:rPr>
          <w:rFonts w:hint="eastAsia" w:eastAsia="仿宋_GB2312" w:asciiTheme="minorHAnsi" w:hAnsiTheme="minorHAnsi" w:cstheme="minorBidi"/>
          <w:b/>
          <w:bCs/>
          <w:kern w:val="2"/>
          <w:sz w:val="32"/>
          <w:szCs w:val="32"/>
          <w:lang w:val="en-US" w:eastAsia="zh-CN" w:bidi="ar-SA"/>
        </w:rPr>
        <w:t>提档升级知识产权服务能级</w:t>
      </w:r>
      <w:bookmarkEnd w:id="32"/>
    </w:p>
    <w:p>
      <w:pPr>
        <w:pStyle w:val="5"/>
        <w:numPr>
          <w:ilvl w:val="2"/>
          <w:numId w:val="0"/>
        </w:numPr>
        <w:spacing w:before="156"/>
        <w:ind w:leftChars="200"/>
      </w:pPr>
      <w:bookmarkStart w:id="33" w:name="_Toc91253749"/>
      <w:r>
        <w:rPr>
          <w:rFonts w:hint="eastAsia"/>
          <w:lang w:val="en-US" w:eastAsia="zh-CN"/>
        </w:rPr>
        <w:t>1、</w:t>
      </w:r>
      <w:r>
        <w:rPr>
          <w:rFonts w:hint="eastAsia"/>
        </w:rPr>
        <w:t>提升政府知识产权公共服务能力</w:t>
      </w:r>
      <w:bookmarkEnd w:id="33"/>
    </w:p>
    <w:p>
      <w:pPr>
        <w:spacing w:before="156"/>
        <w:ind w:firstLine="643"/>
      </w:pPr>
      <w:r>
        <w:rPr>
          <w:rFonts w:hint="eastAsia"/>
        </w:rPr>
        <w:t>持续提升知识产权业务办理便利化水平。深化四川省知识产权保护中心郫都分中心建设，开展知识产权保护“一件事”集成服务改革试点。纵向集成知识产权创造、运用、保护、管理、服务5个环节，横向集成专利、商标、地理标志等不同类别知识产权，推进知识产权业务“一网通办”。有效利用信息技术、综合运用线上线下手段，提高知识产权公共服务效率，畅通专利优先审查、快速预审等通道。畅通沟通渠道，提高知识产权公共服务社会满意度。</w:t>
      </w:r>
    </w:p>
    <w:p>
      <w:pPr>
        <w:spacing w:before="156"/>
        <w:ind w:firstLine="643"/>
      </w:pPr>
      <w:r>
        <w:rPr>
          <w:rFonts w:hint="eastAsia"/>
        </w:rPr>
        <w:t>提升知识产权公共服务智能化水平。加强大数据、区块链、人工智能等新一代信息技术在知识产权基础设施建设中的应用。发挥“国家创新创业示范基地知识产权运营平台”线上服务功能，持续推进“互联网+知识产权”工程，提升知识产权管理应用数字化能力水平。积极应用国家新一代地方专利信息服务中心检索及分析系统和中国知识产权数据与智慧服务系统，便捷高效服务社会。</w:t>
      </w:r>
    </w:p>
    <w:p>
      <w:pPr>
        <w:pStyle w:val="5"/>
        <w:numPr>
          <w:ilvl w:val="2"/>
          <w:numId w:val="0"/>
        </w:numPr>
        <w:spacing w:before="156"/>
        <w:ind w:leftChars="200"/>
      </w:pPr>
      <w:bookmarkStart w:id="34" w:name="_Toc91253750"/>
      <w:r>
        <w:rPr>
          <w:rFonts w:hint="eastAsia"/>
          <w:lang w:val="en-US" w:eastAsia="zh-CN"/>
        </w:rPr>
        <w:t>2、</w:t>
      </w:r>
      <w:r>
        <w:rPr>
          <w:rFonts w:hint="eastAsia"/>
        </w:rPr>
        <w:t>促进知识产权现代服务业发展</w:t>
      </w:r>
      <w:bookmarkEnd w:id="34"/>
    </w:p>
    <w:p>
      <w:pPr>
        <w:spacing w:before="156"/>
        <w:ind w:firstLine="643"/>
      </w:pPr>
      <w:r>
        <w:rPr>
          <w:rFonts w:hint="eastAsia"/>
        </w:rPr>
        <w:t>提高知识产权服务机构品质。深度融入成渝地区双城经济圈、成德眉资同城化合作交流，引进优质服务机构落地郫都，健全涉外知识产权服务体系，加快引进培育一批符合产业发展需求的高端知识产权服务机构，重点开展专利技术转移转化供需对接、专利导航等高端服务，促进本地知识产权服务业发展。支持发展专利、商标、地理标志综合服务机构，支撑企业创新能力、区域优势和商誉信誉的综合提升。围绕郫都现代产业体系，培育一批产业特色明显、知识产权运营能力突出的行业龙头类服务机构，发挥知识产权运营服务在促进人才流动与支持扩大就业中的作用，增强对“双创”的服务支撑。</w:t>
      </w:r>
    </w:p>
    <w:p>
      <w:pPr>
        <w:spacing w:before="156"/>
        <w:ind w:firstLine="643"/>
      </w:pPr>
      <w:r>
        <w:rPr>
          <w:rFonts w:hint="eastAsia"/>
        </w:rPr>
        <w:t>加强知识产权服务业监管。完善知识产权服务业监管机制，建立服务机构信用档案，强化知识产权服务行业动态监管。严厉打击不以保护创新为目的的非正常专利申请，依法驳回一批不以使用为目的的恶意商标注册申请行为。依法依规查处无资质专利代理、以不正当手段招揽业务、非正常申请、挂证等违法违规行为。有序开展专利、商标代理“双随机、一公开”检查工作。</w:t>
      </w:r>
    </w:p>
    <w:p>
      <w:pPr>
        <w:pStyle w:val="4"/>
        <w:spacing w:before="156"/>
        <w:ind w:firstLine="640"/>
        <w:rPr>
          <w:rFonts w:hint="eastAsia" w:eastAsia="仿宋_GB2312" w:asciiTheme="minorHAnsi" w:hAnsiTheme="minorHAnsi" w:cstheme="minorBidi"/>
          <w:b/>
          <w:bCs/>
          <w:kern w:val="2"/>
          <w:sz w:val="32"/>
          <w:szCs w:val="32"/>
          <w:lang w:val="en-US" w:eastAsia="zh-CN" w:bidi="ar-SA"/>
        </w:rPr>
      </w:pPr>
      <w:bookmarkStart w:id="35" w:name="_Toc91253751"/>
      <w:r>
        <w:rPr>
          <w:rFonts w:hint="eastAsia" w:eastAsia="仿宋_GB2312" w:asciiTheme="minorHAnsi" w:hAnsiTheme="minorHAnsi" w:cstheme="minorBidi"/>
          <w:b/>
          <w:bCs/>
          <w:kern w:val="2"/>
          <w:sz w:val="32"/>
          <w:szCs w:val="32"/>
          <w:lang w:val="en-US" w:eastAsia="zh-CN" w:bidi="ar-SA"/>
        </w:rPr>
        <w:t>夯实知识产权发展基础</w:t>
      </w:r>
      <w:bookmarkEnd w:id="35"/>
    </w:p>
    <w:p>
      <w:pPr>
        <w:pStyle w:val="5"/>
        <w:numPr>
          <w:ilvl w:val="2"/>
          <w:numId w:val="0"/>
        </w:numPr>
        <w:spacing w:before="156"/>
        <w:ind w:leftChars="200"/>
      </w:pPr>
      <w:bookmarkStart w:id="36" w:name="_Toc91253752"/>
      <w:r>
        <w:rPr>
          <w:rFonts w:hint="eastAsia"/>
          <w:lang w:val="en-US" w:eastAsia="zh-CN"/>
        </w:rPr>
        <w:t>1、</w:t>
      </w:r>
      <w:r>
        <w:rPr>
          <w:rFonts w:hint="eastAsia"/>
        </w:rPr>
        <w:t>加强知识产权人才队伍建设</w:t>
      </w:r>
      <w:bookmarkEnd w:id="36"/>
    </w:p>
    <w:p>
      <w:pPr>
        <w:spacing w:before="156"/>
        <w:ind w:firstLine="643"/>
      </w:pPr>
      <w:r>
        <w:rPr>
          <w:rFonts w:hint="eastAsia"/>
        </w:rPr>
        <w:t>建立健全知识产权人才培养体系。加快聚集各类高素质人才，构建以高层次领军人才、高水平管理服务人才、高素质实务人才为主体的知识产权人才队伍。引进一批与城市发展战略和高质量发展要求相匹配的知识产权领军人才。建立知识产权行政部门与司法部门学习交流机制，强化知识产权公检法司和行政执法队伍人员的职业化专业化建设。积极培养专利、商标、版权、集成电路布图设计、无形资产评估、知识产权诉讼、知识产权运营、专利信息服务等领域代理人和服务人员。实施企业知识产权信息分析技能人才培养计划，培养一批熟悉技术、知识产权、法律的高素质实务人才。</w:t>
      </w:r>
    </w:p>
    <w:p>
      <w:pPr>
        <w:spacing w:before="156"/>
        <w:ind w:firstLine="643"/>
      </w:pPr>
      <w:r>
        <w:rPr>
          <w:rFonts w:hint="eastAsia"/>
        </w:rPr>
        <w:t>建设知识产权人才培养平台。鼓励高校开设知识产权课程和专业讲座，提升知识产权人才培养水平。加快推动高校知识产权学院、知识产权人才实训基地等人才培育项目建设。围绕知识产权保护、创造、运用、管理、服务全链条，培养企业和社会市场需要的专业技术人才。推动高校加快技术经纪人队伍建设。鼓励高等院校、科研院所、社会机构与企业共建知识产权转移转化人才培养合作基地和实训基地。</w:t>
      </w:r>
    </w:p>
    <w:p>
      <w:pPr>
        <w:pStyle w:val="5"/>
        <w:numPr>
          <w:ilvl w:val="2"/>
          <w:numId w:val="0"/>
        </w:numPr>
        <w:spacing w:before="156"/>
        <w:ind w:leftChars="200"/>
      </w:pPr>
      <w:bookmarkStart w:id="37" w:name="_Toc91253753"/>
      <w:r>
        <w:rPr>
          <w:rFonts w:hint="eastAsia"/>
          <w:lang w:val="en-US" w:eastAsia="zh-CN"/>
        </w:rPr>
        <w:t>2、</w:t>
      </w:r>
      <w:r>
        <w:rPr>
          <w:rFonts w:hint="eastAsia"/>
        </w:rPr>
        <w:t>加强知识产权宣传教育</w:t>
      </w:r>
      <w:bookmarkEnd w:id="37"/>
    </w:p>
    <w:p>
      <w:pPr>
        <w:spacing w:before="156"/>
        <w:ind w:firstLine="643"/>
      </w:pPr>
      <w:r>
        <w:rPr>
          <w:rFonts w:hint="eastAsia"/>
        </w:rPr>
        <w:t>广泛宣传知识产权工作。强化宣传策划，统筹做好内外宣传。构建内容新颖、形式多样、融合发展的知识产权文化传播矩阵，利用电视、报刊、广播等传统媒体及移动客户端、头条、抖音等新媒体平台资源，建立健全知识产权新闻宣传制度，持续做好世界知识产权日、专利周、商标节、专交会等关键节点宣传活动。充分利用组织企业“走出去”参加境外展时机开展知识产权保护宣传。</w:t>
      </w:r>
    </w:p>
    <w:p>
      <w:pPr>
        <w:spacing w:before="156"/>
        <w:ind w:firstLine="643"/>
      </w:pPr>
      <w:r>
        <w:rPr>
          <w:rFonts w:hint="eastAsia"/>
        </w:rPr>
        <w:t>加大知识产权普及教育。探索“知+教”融合创新发展路径，塑造知识产权文化空间，创新教学课程。推进知识产权进企业、进单位、进社区、进学校、进网络。鼓励高校开展知识产权普及性教育。鼓励中小学开展知识产权体验教育和实践活动，持续推进青少年知识产权教育基地建设。深化推进知识产权进机关，进一步提高各级机关干部知识产权意识。</w:t>
      </w:r>
    </w:p>
    <w:p>
      <w:pPr>
        <w:spacing w:before="156"/>
        <w:ind w:firstLine="643"/>
      </w:pPr>
      <w:r>
        <w:rPr>
          <w:rFonts w:hint="eastAsia"/>
        </w:rPr>
        <w:t>强化知识产权文化建设。塑造“尊重知识、崇尚创新、诚信守法、公平竞争”的知识产权文化理念，推动知识产权文化与法治文化、创新文化和公民道德修养融合共生、相互促进。深化建设以清水河公园为主体的知识产权文化长廊生态氧吧。加强教育引导、实践养成和制度保障，培养公民自觉尊重和保护知识产权的行为习惯，倡导消费者知识产权时尚消费，自觉抵制侵权假冒行为。大力宣传先进企业和企业家的知识产权保护典型案件，发布知识产权侵权假冒典型案例，引导企业自觉履行尊重和保护知识产权的社会责任。</w:t>
      </w:r>
    </w:p>
    <w:p>
      <w:pPr>
        <w:pStyle w:val="3"/>
        <w:numPr>
          <w:ilvl w:val="0"/>
          <w:numId w:val="0"/>
        </w:numPr>
        <w:spacing w:before="156"/>
        <w:ind w:leftChars="200"/>
      </w:pPr>
      <w:bookmarkStart w:id="38" w:name="_Toc91253754"/>
      <w:r>
        <w:rPr>
          <w:rFonts w:hint="eastAsia"/>
          <w:lang w:eastAsia="zh-CN"/>
        </w:rPr>
        <w:t>五、</w:t>
      </w:r>
      <w:r>
        <w:rPr>
          <w:rFonts w:hint="eastAsia"/>
        </w:rPr>
        <w:t>保障措施</w:t>
      </w:r>
      <w:bookmarkEnd w:id="38"/>
    </w:p>
    <w:p>
      <w:pPr>
        <w:pStyle w:val="4"/>
        <w:numPr>
          <w:ilvl w:val="1"/>
          <w:numId w:val="0"/>
        </w:numPr>
        <w:spacing w:before="156"/>
        <w:ind w:left="640" w:leftChars="0"/>
        <w:rPr>
          <w:rFonts w:hint="eastAsia" w:eastAsia="黑体" w:asciiTheme="minorHAnsi" w:hAnsiTheme="minorHAnsi" w:cstheme="minorBidi"/>
          <w:bCs/>
          <w:kern w:val="44"/>
          <w:sz w:val="32"/>
          <w:szCs w:val="44"/>
          <w:lang w:val="en-US" w:eastAsia="zh-CN" w:bidi="ar-SA"/>
        </w:rPr>
      </w:pPr>
      <w:bookmarkStart w:id="39" w:name="_Toc58826308"/>
      <w:bookmarkStart w:id="40" w:name="_Toc91253755"/>
      <w:r>
        <w:rPr>
          <w:rFonts w:hint="eastAsia" w:eastAsia="黑体" w:asciiTheme="minorHAnsi" w:hAnsiTheme="minorHAnsi" w:cstheme="minorBidi"/>
          <w:bCs/>
          <w:kern w:val="44"/>
          <w:sz w:val="32"/>
          <w:szCs w:val="44"/>
          <w:lang w:val="en-US" w:eastAsia="zh-CN" w:bidi="ar-SA"/>
        </w:rPr>
        <w:t>（一）加强组织领导</w:t>
      </w:r>
      <w:bookmarkEnd w:id="39"/>
      <w:bookmarkEnd w:id="40"/>
    </w:p>
    <w:p>
      <w:pPr>
        <w:spacing w:before="156"/>
        <w:ind w:firstLine="640"/>
      </w:pPr>
      <w:r>
        <w:rPr>
          <w:rFonts w:hint="eastAsia"/>
        </w:rPr>
        <w:t>全面坚持党对知识产权工作的核心领导，进一步将知识产权工作纳入区委区政府重要决策部署、融入区域经济发展大局，抓住关键重点、创新工作举措、破解痛点难题，以重点突破带动全局提升，引导建立全社会参与模式，构建大知识产权工作格局。</w:t>
      </w:r>
    </w:p>
    <w:p>
      <w:pPr>
        <w:pStyle w:val="4"/>
        <w:numPr>
          <w:ilvl w:val="1"/>
          <w:numId w:val="0"/>
        </w:numPr>
        <w:spacing w:before="156"/>
        <w:ind w:left="640" w:leftChars="0"/>
        <w:rPr>
          <w:rFonts w:hint="eastAsia" w:eastAsia="黑体" w:asciiTheme="minorHAnsi" w:hAnsiTheme="minorHAnsi" w:cstheme="minorBidi"/>
          <w:bCs/>
          <w:kern w:val="44"/>
          <w:sz w:val="32"/>
          <w:szCs w:val="44"/>
          <w:lang w:val="en-US" w:eastAsia="zh-CN" w:bidi="ar-SA"/>
        </w:rPr>
      </w:pPr>
      <w:bookmarkStart w:id="41" w:name="_Toc91253756"/>
      <w:r>
        <w:rPr>
          <w:rFonts w:hint="eastAsia" w:eastAsia="黑体" w:asciiTheme="minorHAnsi" w:hAnsiTheme="minorHAnsi" w:cstheme="minorBidi"/>
          <w:bCs/>
          <w:kern w:val="44"/>
          <w:sz w:val="32"/>
          <w:szCs w:val="44"/>
          <w:lang w:val="en-US" w:eastAsia="zh-CN" w:bidi="ar-SA"/>
        </w:rPr>
        <w:t>（二）强化资源配套</w:t>
      </w:r>
      <w:bookmarkEnd w:id="41"/>
    </w:p>
    <w:p>
      <w:pPr>
        <w:spacing w:before="156"/>
        <w:ind w:firstLine="640"/>
      </w:pPr>
      <w:r>
        <w:rPr>
          <w:rFonts w:hint="eastAsia"/>
        </w:rPr>
        <w:t>探索建立财政投入机制，优化资金使用方向和程序，提高财政资金使用绩效，引导知识产权高质量、强保护发展。强化知识产权、科技、经信、商务等部门间的政策配套协调，引导市场主体加大知识产权资金投入，逐步建立以政府投入为引导、金融信贷为支持、企业投入为主体的多渠道、多元化的资金投入体系。</w:t>
      </w:r>
    </w:p>
    <w:p>
      <w:pPr>
        <w:pStyle w:val="4"/>
        <w:numPr>
          <w:ilvl w:val="1"/>
          <w:numId w:val="0"/>
        </w:numPr>
        <w:spacing w:before="156"/>
        <w:ind w:left="640" w:leftChars="0"/>
        <w:rPr>
          <w:rFonts w:hint="eastAsia" w:eastAsia="黑体" w:asciiTheme="minorHAnsi" w:hAnsiTheme="minorHAnsi" w:cstheme="minorBidi"/>
          <w:bCs/>
          <w:kern w:val="44"/>
          <w:sz w:val="32"/>
          <w:szCs w:val="44"/>
          <w:lang w:val="en-US" w:eastAsia="zh-CN" w:bidi="ar-SA"/>
        </w:rPr>
      </w:pPr>
      <w:bookmarkStart w:id="42" w:name="_Toc91253757"/>
      <w:r>
        <w:rPr>
          <w:rFonts w:hint="eastAsia" w:eastAsia="黑体" w:asciiTheme="minorHAnsi" w:hAnsiTheme="minorHAnsi" w:cstheme="minorBidi"/>
          <w:bCs/>
          <w:kern w:val="44"/>
          <w:sz w:val="32"/>
          <w:szCs w:val="44"/>
          <w:lang w:val="en-US" w:eastAsia="zh-CN" w:bidi="ar-SA"/>
        </w:rPr>
        <w:t>（三）优化考核评估</w:t>
      </w:r>
      <w:bookmarkEnd w:id="42"/>
    </w:p>
    <w:p>
      <w:pPr>
        <w:pStyle w:val="4"/>
        <w:numPr>
          <w:ilvl w:val="1"/>
          <w:numId w:val="0"/>
        </w:numPr>
        <w:spacing w:before="156"/>
        <w:ind w:firstLine="640" w:firstLineChars="200"/>
        <w:rPr>
          <w:rFonts w:hint="eastAsia" w:eastAsia="仿宋_GB2312" w:asciiTheme="minorHAnsi" w:hAnsiTheme="minorHAnsi" w:cstheme="minorBidi"/>
          <w:bCs w:val="0"/>
          <w:kern w:val="2"/>
          <w:sz w:val="32"/>
          <w:szCs w:val="22"/>
          <w:lang w:val="en-US" w:eastAsia="zh-CN" w:bidi="ar-SA"/>
        </w:rPr>
      </w:pPr>
      <w:r>
        <w:rPr>
          <w:rFonts w:hint="eastAsia" w:eastAsia="仿宋_GB2312" w:asciiTheme="minorHAnsi" w:hAnsiTheme="minorHAnsi" w:cstheme="minorBidi"/>
          <w:bCs w:val="0"/>
          <w:kern w:val="2"/>
          <w:sz w:val="32"/>
          <w:szCs w:val="22"/>
          <w:lang w:val="en-US" w:eastAsia="zh-CN" w:bidi="ar-SA"/>
        </w:rPr>
        <w:t>建立健全考核评价制度，将知识产权保护与发展绩效纳入有关部门和各乡镇街道的绩效考核和营商环境评价体系。加强知识产权指标统计监测，完善知识产权考核指标体系，强化对反映知识产权高质量创造、高效益运用、高强度保护、高水平管理等方面指标的考核。</w:t>
      </w:r>
    </w:p>
    <w:p>
      <w:pPr>
        <w:rPr>
          <w:rFonts w:hint="eastAsia" w:eastAsia="仿宋_GB2312" w:asciiTheme="minorHAnsi" w:hAnsiTheme="minorHAnsi" w:cstheme="minorBidi"/>
          <w:bCs w:val="0"/>
          <w:kern w:val="2"/>
          <w:sz w:val="32"/>
          <w:szCs w:val="22"/>
          <w:lang w:val="en-US" w:eastAsia="zh-CN" w:bidi="ar-SA"/>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635777"/>
      <w:docPartObj>
        <w:docPartGallery w:val="autotext"/>
      </w:docPartObj>
    </w:sdtPr>
    <w:sdtContent>
      <w:p>
        <w:pPr>
          <w:pStyle w:val="7"/>
          <w:spacing w:before="120"/>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D44"/>
    <w:multiLevelType w:val="multilevel"/>
    <w:tmpl w:val="4ECE6D44"/>
    <w:lvl w:ilvl="0" w:tentative="0">
      <w:start w:val="1"/>
      <w:numFmt w:val="chineseCountingThousand"/>
      <w:pStyle w:val="3"/>
      <w:lvlText w:val="%1、"/>
      <w:lvlJc w:val="left"/>
      <w:pPr>
        <w:ind w:left="0" w:firstLine="0"/>
      </w:pPr>
      <w:rPr>
        <w:rFonts w:hint="default"/>
      </w:rPr>
    </w:lvl>
    <w:lvl w:ilvl="1" w:tentative="0">
      <w:start w:val="1"/>
      <w:numFmt w:val="chineseCountingThousand"/>
      <w:pStyle w:val="4"/>
      <w:lvlText w:val="（%2）"/>
      <w:lvlJc w:val="left"/>
      <w:pPr>
        <w:ind w:left="0" w:firstLine="0"/>
      </w:pPr>
      <w:rPr>
        <w:rFonts w:hint="eastAsia"/>
      </w:rPr>
    </w:lvl>
    <w:lvl w:ilvl="2" w:tentative="0">
      <w:start w:val="1"/>
      <w:numFmt w:val="decimal"/>
      <w:pStyle w:val="5"/>
      <w:lvlText w:val="%3."/>
      <w:lvlJc w:val="lef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D5248"/>
    <w:rsid w:val="06A60F5F"/>
    <w:rsid w:val="121A31A6"/>
    <w:rsid w:val="15916071"/>
    <w:rsid w:val="2043036F"/>
    <w:rsid w:val="276E2485"/>
    <w:rsid w:val="42AD5248"/>
    <w:rsid w:val="531F6E8E"/>
    <w:rsid w:val="61CC7FC8"/>
    <w:rsid w:val="662E2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50" w:beforeLines="50" w:line="56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qFormat/>
    <w:uiPriority w:val="9"/>
    <w:pPr>
      <w:keepNext/>
      <w:keepLines/>
      <w:numPr>
        <w:ilvl w:val="0"/>
        <w:numId w:val="1"/>
      </w:numPr>
      <w:ind w:firstLine="200"/>
      <w:outlineLvl w:val="0"/>
    </w:pPr>
    <w:rPr>
      <w:rFonts w:eastAsia="黑体"/>
      <w:bCs/>
      <w:kern w:val="44"/>
      <w:szCs w:val="44"/>
    </w:rPr>
  </w:style>
  <w:style w:type="paragraph" w:styleId="4">
    <w:name w:val="heading 2"/>
    <w:basedOn w:val="1"/>
    <w:next w:val="1"/>
    <w:unhideWhenUsed/>
    <w:qFormat/>
    <w:uiPriority w:val="9"/>
    <w:pPr>
      <w:keepNext/>
      <w:keepLines/>
      <w:numPr>
        <w:ilvl w:val="1"/>
        <w:numId w:val="1"/>
      </w:numPr>
      <w:ind w:firstLineChars="0"/>
      <w:outlineLvl w:val="1"/>
    </w:pPr>
    <w:rPr>
      <w:rFonts w:eastAsia="楷体_GB2312" w:asciiTheme="majorHAnsi" w:hAnsiTheme="majorHAnsi" w:cstheme="majorBidi"/>
      <w:bCs/>
      <w:szCs w:val="32"/>
    </w:rPr>
  </w:style>
  <w:style w:type="paragraph" w:styleId="5">
    <w:name w:val="heading 3"/>
    <w:basedOn w:val="1"/>
    <w:next w:val="1"/>
    <w:unhideWhenUsed/>
    <w:qFormat/>
    <w:uiPriority w:val="9"/>
    <w:pPr>
      <w:keepNext/>
      <w:keepLines/>
      <w:numPr>
        <w:ilvl w:val="2"/>
        <w:numId w:val="1"/>
      </w:numPr>
      <w:ind w:firstLine="200"/>
      <w:outlineLvl w:val="2"/>
    </w:pPr>
    <w:rPr>
      <w:b/>
      <w:bCs/>
      <w:szCs w:val="32"/>
    </w:rPr>
  </w:style>
  <w:style w:type="character" w:default="1" w:styleId="11">
    <w:name w:val="Default Paragraph Font"/>
    <w:semiHidden/>
    <w:qFormat/>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pPr>
  </w:style>
  <w:style w:type="paragraph" w:styleId="6">
    <w:name w:val="toc 3"/>
    <w:basedOn w:val="1"/>
    <w:next w:val="1"/>
    <w:unhideWhenUsed/>
    <w:qFormat/>
    <w:uiPriority w:val="39"/>
    <w:pPr>
      <w:tabs>
        <w:tab w:val="left" w:pos="1938"/>
        <w:tab w:val="right" w:leader="dot" w:pos="8296"/>
      </w:tabs>
      <w:spacing w:before="156"/>
      <w:ind w:left="1280" w:leftChars="400" w:firstLine="640"/>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tabs>
        <w:tab w:val="left" w:pos="2230"/>
        <w:tab w:val="right" w:leader="dot" w:pos="8296"/>
      </w:tabs>
      <w:spacing w:before="156"/>
      <w:ind w:left="640" w:leftChars="200" w:firstLine="640"/>
      <w:jc w:val="left"/>
    </w:pPr>
  </w:style>
  <w:style w:type="character" w:styleId="12">
    <w:name w:val="Hyperlink"/>
    <w:basedOn w:val="11"/>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2023-01-05T01:57:00Z</dcterms:created>
  <dc:creator>韦林龙</dc:creator>
  <cp:lastModifiedBy>韦林龙</cp:lastModifiedBy>
  <dcterms:modified xsi:type="dcterms:W3CDTF">2023-01-10T02:49:45Z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